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422CF0" w:rsidTr="00C33EF5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B365E2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                                                                                            </w:t>
                  </w:r>
                  <w:proofErr w:type="spellStart"/>
                  <w:r w:rsidRPr="00B365E2">
                    <w:rPr>
                      <w:b/>
                      <w:bCs/>
                      <w:sz w:val="28"/>
                      <w:szCs w:val="28"/>
                    </w:rPr>
                    <w:t>Щекинский</w:t>
                  </w:r>
                  <w:proofErr w:type="spellEnd"/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 район Тульской области</w:t>
                  </w:r>
                </w:p>
              </w:tc>
            </w:tr>
            <w:tr w:rsidR="005C6A2B" w:rsidRPr="00B365E2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B365E2" w:rsidRDefault="005C6A2B" w:rsidP="00C33EF5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6A2B" w:rsidRPr="00B365E2" w:rsidRDefault="005C6A2B" w:rsidP="00C33EF5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B365E2" w:rsidRDefault="00CB4D85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29 </w:t>
                  </w:r>
                  <w:r>
                    <w:rPr>
                      <w:sz w:val="28"/>
                      <w:szCs w:val="28"/>
                    </w:rPr>
                    <w:t>января</w:t>
                  </w:r>
                  <w:r w:rsidR="005C6A2B">
                    <w:rPr>
                      <w:sz w:val="28"/>
                      <w:szCs w:val="28"/>
                    </w:rPr>
                    <w:t xml:space="preserve"> 20</w:t>
                  </w:r>
                  <w:r w:rsidR="00E14B00">
                    <w:rPr>
                      <w:sz w:val="28"/>
                      <w:szCs w:val="28"/>
                    </w:rPr>
                    <w:t>20</w:t>
                  </w:r>
                  <w:r w:rsidR="005C6A2B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8F0A89" w:rsidRDefault="005C6A2B" w:rsidP="00CB4D85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CB4D85">
                    <w:rPr>
                      <w:sz w:val="28"/>
                      <w:szCs w:val="28"/>
                      <w:lang w:val="en-US"/>
                    </w:rPr>
                    <w:t>1-18</w:t>
                  </w:r>
                </w:p>
              </w:tc>
            </w:tr>
          </w:tbl>
          <w:p w:rsidR="005C6A2B" w:rsidRDefault="005C6A2B" w:rsidP="00C33EF5"/>
        </w:tc>
      </w:tr>
    </w:tbl>
    <w:p w:rsidR="005C6A2B" w:rsidRPr="00422CF0" w:rsidRDefault="005C6A2B" w:rsidP="005C6A2B">
      <w:pPr>
        <w:ind w:firstLine="709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</w:p>
    <w:p w:rsidR="005C6A2B" w:rsidRDefault="005C6A2B" w:rsidP="005C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 образования</w:t>
      </w:r>
    </w:p>
    <w:p w:rsidR="005C6A2B" w:rsidRPr="001E5D2C" w:rsidRDefault="005C6A2B" w:rsidP="005C6A2B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>
        <w:rPr>
          <w:b/>
          <w:sz w:val="28"/>
          <w:szCs w:val="28"/>
        </w:rPr>
        <w:tab/>
        <w:t xml:space="preserve">        </w:t>
      </w:r>
      <w:r w:rsidR="00E40D45">
        <w:rPr>
          <w:b/>
          <w:sz w:val="28"/>
          <w:szCs w:val="28"/>
        </w:rPr>
        <w:t>Г.В.Андропов</w:t>
      </w: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4B00" w:rsidRDefault="00E14B00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E14B00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О.А.Пузочкина</w:t>
      </w:r>
      <w:proofErr w:type="spellEnd"/>
    </w:p>
    <w:p w:rsidR="005C6A2B" w:rsidRDefault="00E40D45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Н.Ю.Грекова</w:t>
      </w:r>
      <w:proofErr w:type="spellEnd"/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E14B00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E14B00">
        <w:rPr>
          <w:rFonts w:ascii="Times New Roman" w:hAnsi="Times New Roman" w:cs="Times New Roman"/>
          <w:sz w:val="22"/>
          <w:szCs w:val="22"/>
        </w:rPr>
        <w:t>лехина Н.В.</w:t>
      </w:r>
    </w:p>
    <w:p w:rsidR="005C6A2B" w:rsidRPr="00351EAD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74-5-41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62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r w:rsidR="003F026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16CBE">
        <w:rPr>
          <w:rFonts w:ascii="Times New Roman" w:hAnsi="Times New Roman" w:cs="Times New Roman"/>
          <w:sz w:val="24"/>
          <w:szCs w:val="24"/>
        </w:rPr>
        <w:t>20</w:t>
      </w:r>
      <w:r w:rsidR="00E14B00">
        <w:rPr>
          <w:rFonts w:ascii="Times New Roman" w:hAnsi="Times New Roman" w:cs="Times New Roman"/>
          <w:sz w:val="24"/>
          <w:szCs w:val="24"/>
        </w:rPr>
        <w:t>20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 w:rsidR="003F0262">
        <w:rPr>
          <w:rFonts w:ascii="Times New Roman" w:hAnsi="Times New Roman" w:cs="Times New Roman"/>
          <w:sz w:val="24"/>
          <w:szCs w:val="24"/>
        </w:rPr>
        <w:t>1-18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7D61B9">
              <w:rPr>
                <w:rFonts w:ascii="Times New Roman" w:hAnsi="Times New Roman" w:cs="Times New Roman"/>
                <w:i/>
                <w:sz w:val="28"/>
                <w:szCs w:val="28"/>
              </w:rPr>
              <w:t>5300,9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130,3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243,50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2021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 – 174,40</w:t>
            </w:r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бюджета муниципального образования город Советск Щёкинского района:</w:t>
            </w:r>
          </w:p>
          <w:p w:rsidR="000D3AD6" w:rsidRPr="00422CF0" w:rsidRDefault="007D61B9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5300,9</w:t>
            </w:r>
            <w:r w:rsidR="000D3AD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0D3AD6" w:rsidRPr="00422CF0" w:rsidRDefault="000D3AD6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–686,1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618,0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1130,3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243,50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174,40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A361C2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  1</w:t>
            </w:r>
            <w:r w:rsidR="007D61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754,6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210,0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368,6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101,0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</w:t>
            </w:r>
            <w:r w:rsidR="007D61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3516,3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-532,6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–421,0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61,3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142,5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74,4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год – 75,4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C6A2B" w:rsidRPr="00422CF0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  <w:sectPr w:rsidR="005C6A2B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F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</w:tcPr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E16CBE" w:rsidRDefault="005C6A2B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BD65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C6A2B" w:rsidRPr="00B37BE9" w:rsidRDefault="005C6A2B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F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0925F3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F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 w:val="restart"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BD6571" w:rsidRPr="00E16CBE" w:rsidRDefault="00BD6571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300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255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1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8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092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3516,3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AB6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3516,3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0F5A19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7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 w:val="restart"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F1F89" w:rsidRDefault="005F1F8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  <w:p w:rsidR="005F1F89" w:rsidRDefault="005F1F89" w:rsidP="005F1F89">
            <w:pPr>
              <w:rPr>
                <w:rFonts w:ascii="Arial" w:hAnsi="Arial" w:cs="Arial"/>
              </w:rPr>
            </w:pPr>
          </w:p>
          <w:p w:rsidR="000F5A19" w:rsidRPr="005F1F89" w:rsidRDefault="005F1F89" w:rsidP="005F1F89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C6A2B" w:rsidRPr="00E16CBE" w:rsidRDefault="005C6A2B" w:rsidP="005C6A2B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p w:rsidR="00863354" w:rsidRDefault="00863354"/>
    <w:sectPr w:rsidR="00863354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E1"/>
    <w:rsid w:val="00001AD6"/>
    <w:rsid w:val="00004269"/>
    <w:rsid w:val="00004A0C"/>
    <w:rsid w:val="00005A56"/>
    <w:rsid w:val="00032F89"/>
    <w:rsid w:val="000370AE"/>
    <w:rsid w:val="00062EE8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0262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E3379"/>
    <w:rsid w:val="00B065B6"/>
    <w:rsid w:val="00B070CE"/>
    <w:rsid w:val="00B07F6F"/>
    <w:rsid w:val="00B31E98"/>
    <w:rsid w:val="00B332BE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23816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4D85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14</cp:revision>
  <cp:lastPrinted>2020-01-29T12:14:00Z</cp:lastPrinted>
  <dcterms:created xsi:type="dcterms:W3CDTF">2019-07-04T06:25:00Z</dcterms:created>
  <dcterms:modified xsi:type="dcterms:W3CDTF">2020-01-29T12:14:00Z</dcterms:modified>
</cp:coreProperties>
</file>