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D6359" w:rsidRPr="001D6359" w:rsidTr="001D6359">
        <w:tc>
          <w:tcPr>
            <w:tcW w:w="9571" w:type="dxa"/>
            <w:gridSpan w:val="2"/>
            <w:hideMark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D6359" w:rsidRPr="001D6359" w:rsidTr="001D6359">
        <w:tc>
          <w:tcPr>
            <w:tcW w:w="9571" w:type="dxa"/>
            <w:gridSpan w:val="2"/>
            <w:hideMark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D6359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D6359" w:rsidRPr="001D6359" w:rsidTr="001D6359">
        <w:tc>
          <w:tcPr>
            <w:tcW w:w="9571" w:type="dxa"/>
            <w:gridSpan w:val="2"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II созыва</w:t>
            </w: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D6359" w:rsidRPr="001D6359" w:rsidTr="001D6359">
        <w:tc>
          <w:tcPr>
            <w:tcW w:w="9571" w:type="dxa"/>
            <w:gridSpan w:val="2"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РЕШЕНИЕ</w:t>
            </w: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D6359" w:rsidRPr="001D6359" w:rsidTr="001D6359">
        <w:tc>
          <w:tcPr>
            <w:tcW w:w="4785" w:type="dxa"/>
            <w:hideMark/>
          </w:tcPr>
          <w:p w:rsidR="001D6359" w:rsidRPr="001D6359" w:rsidRDefault="001D6359" w:rsidP="004323B0">
            <w:pPr>
              <w:ind w:firstLine="709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 xml:space="preserve">от </w:t>
            </w:r>
            <w:r w:rsidR="004323B0">
              <w:rPr>
                <w:b/>
                <w:sz w:val="28"/>
                <w:szCs w:val="28"/>
              </w:rPr>
              <w:t xml:space="preserve">08 мая </w:t>
            </w:r>
            <w:r w:rsidRPr="001D635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1D635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D6359" w:rsidRPr="004323B0" w:rsidRDefault="001D6359" w:rsidP="004323B0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 xml:space="preserve">№ </w:t>
            </w:r>
            <w:r w:rsidR="004323B0">
              <w:rPr>
                <w:b/>
                <w:sz w:val="28"/>
                <w:szCs w:val="28"/>
              </w:rPr>
              <w:t>89-232</w:t>
            </w:r>
          </w:p>
        </w:tc>
      </w:tr>
    </w:tbl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359" w:rsidRPr="001D6359" w:rsidRDefault="001D6359" w:rsidP="001D6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b/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2012</w:t>
      </w:r>
      <w:r w:rsidRPr="001D635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D6359" w:rsidRPr="001D6359" w:rsidRDefault="001D6359" w:rsidP="001D6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06.10.2003г. № 131-ФЗ «Об общих принципах организации местного самоуправления в Российской Федерации», ст. 19 Устава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района, Положением «Об организации и проведении публичных слушаний в муниципальном образовании город Советск», утвержденного решением Собрания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 от 21.11.2006г. № 17-1, Собрание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6359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D6359">
        <w:rPr>
          <w:rFonts w:ascii="Times New Roman" w:hAnsi="Times New Roman" w:cs="Times New Roman"/>
          <w:sz w:val="28"/>
          <w:szCs w:val="28"/>
        </w:rPr>
        <w:t>: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1. Обсудить проект решения Собрания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2012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год» (Приложение 1) на публичных слушаниях.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2. Назначить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публичные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слушания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по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проекту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решения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муниципального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образования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город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Советск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«Об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исполнении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бюджета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муниципального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образования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город Совет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="004A257F">
        <w:rPr>
          <w:rFonts w:ascii="Times New Roman" w:hAnsi="Times New Roman" w:cs="Times New Roman"/>
          <w:sz w:val="28"/>
          <w:szCs w:val="28"/>
        </w:rPr>
        <w:t>30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года. Установить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время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проведения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публичных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слушаний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17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часов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30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минут. Место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проведения: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Тульская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область,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>город</w:t>
      </w:r>
      <w:r w:rsidR="00F8421A">
        <w:rPr>
          <w:rFonts w:ascii="Times New Roman" w:hAnsi="Times New Roman" w:cs="Times New Roman"/>
          <w:sz w:val="28"/>
          <w:szCs w:val="28"/>
        </w:rPr>
        <w:t xml:space="preserve"> </w:t>
      </w:r>
      <w:r w:rsidRPr="001D6359">
        <w:rPr>
          <w:rFonts w:ascii="Times New Roman" w:hAnsi="Times New Roman" w:cs="Times New Roman"/>
          <w:sz w:val="28"/>
          <w:szCs w:val="28"/>
        </w:rPr>
        <w:t xml:space="preserve">Советск, </w:t>
      </w:r>
      <w:r w:rsidR="004A257F">
        <w:rPr>
          <w:rFonts w:ascii="Times New Roman" w:hAnsi="Times New Roman" w:cs="Times New Roman"/>
          <w:sz w:val="28"/>
          <w:szCs w:val="28"/>
        </w:rPr>
        <w:t>пл. Советов</w:t>
      </w:r>
      <w:r w:rsidRPr="001D6359">
        <w:rPr>
          <w:rFonts w:ascii="Times New Roman" w:hAnsi="Times New Roman" w:cs="Times New Roman"/>
          <w:sz w:val="28"/>
          <w:szCs w:val="28"/>
        </w:rPr>
        <w:t>,</w:t>
      </w:r>
      <w:r w:rsidR="004A257F">
        <w:rPr>
          <w:rFonts w:ascii="Times New Roman" w:hAnsi="Times New Roman" w:cs="Times New Roman"/>
          <w:sz w:val="28"/>
          <w:szCs w:val="28"/>
        </w:rPr>
        <w:t xml:space="preserve"> здание администрации,</w:t>
      </w:r>
      <w:r w:rsidRPr="001D6359">
        <w:rPr>
          <w:rFonts w:ascii="Times New Roman" w:hAnsi="Times New Roman" w:cs="Times New Roman"/>
          <w:sz w:val="28"/>
          <w:szCs w:val="28"/>
        </w:rPr>
        <w:t xml:space="preserve"> зал</w:t>
      </w:r>
      <w:r w:rsidR="004A257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1D6359">
        <w:rPr>
          <w:rFonts w:ascii="Times New Roman" w:hAnsi="Times New Roman" w:cs="Times New Roman"/>
          <w:sz w:val="28"/>
          <w:szCs w:val="28"/>
        </w:rPr>
        <w:t>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2012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год» (Приложение 2).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4. Провести первое заседание комиссии по подготовке и проведению публичных </w:t>
      </w:r>
      <w:r w:rsidR="004A257F">
        <w:rPr>
          <w:rFonts w:ascii="Times New Roman" w:hAnsi="Times New Roman" w:cs="Times New Roman"/>
          <w:sz w:val="28"/>
          <w:szCs w:val="28"/>
        </w:rPr>
        <w:t>слушаний 13</w:t>
      </w:r>
      <w:r>
        <w:rPr>
          <w:rFonts w:ascii="Times New Roman" w:hAnsi="Times New Roman" w:cs="Times New Roman"/>
          <w:sz w:val="28"/>
          <w:szCs w:val="28"/>
        </w:rPr>
        <w:t xml:space="preserve"> мая 2013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«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6. Решение вступает в силу со дня официального опубликования.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1D6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3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842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359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D6359" w:rsidRPr="001D6359">
          <w:pgSz w:w="11906" w:h="16838"/>
          <w:pgMar w:top="1134" w:right="851" w:bottom="1134" w:left="1701" w:header="709" w:footer="709" w:gutter="0"/>
          <w:cols w:space="720"/>
        </w:sectPr>
      </w:pP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по проекту решения Собрания депутатов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3B0">
        <w:rPr>
          <w:rFonts w:ascii="Times New Roman" w:hAnsi="Times New Roman" w:cs="Times New Roman"/>
          <w:sz w:val="28"/>
          <w:szCs w:val="28"/>
        </w:rPr>
        <w:t>08 мая 2</w:t>
      </w:r>
      <w:r>
        <w:rPr>
          <w:rFonts w:ascii="Times New Roman" w:hAnsi="Times New Roman" w:cs="Times New Roman"/>
          <w:sz w:val="28"/>
          <w:szCs w:val="28"/>
        </w:rPr>
        <w:t>013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23B0">
        <w:rPr>
          <w:rFonts w:ascii="Times New Roman" w:hAnsi="Times New Roman" w:cs="Times New Roman"/>
          <w:sz w:val="28"/>
          <w:szCs w:val="28"/>
        </w:rPr>
        <w:t>89-232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ПРОЕКТ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6"/>
      </w:tblGrid>
      <w:tr w:rsidR="001D6359" w:rsidRPr="001D6359" w:rsidTr="001D6359">
        <w:tc>
          <w:tcPr>
            <w:tcW w:w="9572" w:type="dxa"/>
            <w:gridSpan w:val="2"/>
            <w:hideMark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D6359" w:rsidRPr="001D6359" w:rsidTr="001D6359">
        <w:tc>
          <w:tcPr>
            <w:tcW w:w="9572" w:type="dxa"/>
            <w:gridSpan w:val="2"/>
            <w:hideMark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D6359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1D6359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D6359" w:rsidRPr="001D6359" w:rsidTr="001D6359">
        <w:tc>
          <w:tcPr>
            <w:tcW w:w="9572" w:type="dxa"/>
            <w:gridSpan w:val="2"/>
          </w:tcPr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II созыва</w:t>
            </w: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D6359" w:rsidRPr="001D6359" w:rsidTr="001D6359">
        <w:tc>
          <w:tcPr>
            <w:tcW w:w="9572" w:type="dxa"/>
            <w:gridSpan w:val="2"/>
          </w:tcPr>
          <w:p w:rsidR="001D6359" w:rsidRPr="001D6359" w:rsidRDefault="001D6359" w:rsidP="001D6359">
            <w:pPr>
              <w:ind w:firstLine="709"/>
              <w:jc w:val="center"/>
              <w:rPr>
                <w:sz w:val="28"/>
                <w:szCs w:val="28"/>
              </w:rPr>
            </w:pPr>
            <w:r w:rsidRPr="001D6359">
              <w:rPr>
                <w:sz w:val="28"/>
                <w:szCs w:val="28"/>
              </w:rPr>
              <w:t>РЕШЕНИЕ</w:t>
            </w:r>
          </w:p>
          <w:p w:rsidR="001D6359" w:rsidRPr="001D6359" w:rsidRDefault="001D6359" w:rsidP="001D635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D6359" w:rsidRPr="001D6359" w:rsidTr="001D6359">
        <w:tc>
          <w:tcPr>
            <w:tcW w:w="4786" w:type="dxa"/>
            <w:hideMark/>
          </w:tcPr>
          <w:p w:rsidR="001D6359" w:rsidRPr="001D6359" w:rsidRDefault="001D6359" w:rsidP="001D6359">
            <w:pPr>
              <w:ind w:right="-250"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_____________ 2013</w:t>
            </w:r>
            <w:r w:rsidRPr="001D6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1D6359" w:rsidRPr="001D6359" w:rsidRDefault="001D6359" w:rsidP="001D6359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635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B9" w:rsidRDefault="002D35B9" w:rsidP="002D35B9">
      <w:pPr>
        <w:pStyle w:val="a5"/>
        <w:rPr>
          <w:b/>
          <w:szCs w:val="28"/>
        </w:rPr>
      </w:pPr>
      <w:r>
        <w:rPr>
          <w:b/>
          <w:szCs w:val="28"/>
        </w:rPr>
        <w:t xml:space="preserve"> Об исполнении бюджета муниципального образования город Советск </w:t>
      </w:r>
      <w:proofErr w:type="spellStart"/>
      <w:r>
        <w:rPr>
          <w:b/>
          <w:szCs w:val="28"/>
        </w:rPr>
        <w:t>Щекинского</w:t>
      </w:r>
      <w:proofErr w:type="spellEnd"/>
      <w:r>
        <w:rPr>
          <w:b/>
          <w:szCs w:val="28"/>
        </w:rPr>
        <w:t xml:space="preserve"> района за 2012 год</w:t>
      </w:r>
    </w:p>
    <w:p w:rsidR="002D35B9" w:rsidRDefault="002D35B9" w:rsidP="002D35B9">
      <w:pPr>
        <w:spacing w:after="0" w:line="240" w:lineRule="auto"/>
        <w:ind w:firstLine="709"/>
        <w:jc w:val="both"/>
        <w:rPr>
          <w:sz w:val="28"/>
        </w:rPr>
      </w:pP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З</w:t>
      </w:r>
      <w:r w:rsidRPr="002D35B9">
        <w:rPr>
          <w:rFonts w:ascii="Times New Roman" w:hAnsi="Times New Roman" w:cs="Times New Roman"/>
          <w:sz w:val="28"/>
        </w:rPr>
        <w:t xml:space="preserve">аслушав и обсудив отчет главы администрации МО город Советск  «Об исполнении бюджета муниципального образования город Советск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района» за 2012 год, Собрание депутатов муниципального образования город Советск 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 </w:t>
      </w:r>
      <w:r w:rsidRPr="002D35B9">
        <w:rPr>
          <w:rFonts w:ascii="Times New Roman" w:hAnsi="Times New Roman" w:cs="Times New Roman"/>
          <w:b/>
          <w:sz w:val="28"/>
        </w:rPr>
        <w:t>РЕШИЛО</w:t>
      </w:r>
      <w:r w:rsidRPr="002D35B9">
        <w:rPr>
          <w:rFonts w:ascii="Times New Roman" w:hAnsi="Times New Roman" w:cs="Times New Roman"/>
          <w:sz w:val="28"/>
        </w:rPr>
        <w:t>: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D35B9">
        <w:rPr>
          <w:rFonts w:ascii="Times New Roman" w:hAnsi="Times New Roman" w:cs="Times New Roman"/>
          <w:sz w:val="28"/>
        </w:rPr>
        <w:t>. Утвердить отчеты: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>-исполнение доходов бюджета муниципального образования город Советск по кодам классификации доходов бюджетов за 2012 год (Приложение 1);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-исполнение доходов бюджета муниципального образования город Советск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 по кодам видов доходов, подвидов доходов, классификации операций сектора государственного управления, относящихся к доходам бюджета за 2012 год</w:t>
      </w:r>
      <w:r>
        <w:rPr>
          <w:rFonts w:ascii="Times New Roman" w:hAnsi="Times New Roman" w:cs="Times New Roman"/>
          <w:sz w:val="28"/>
        </w:rPr>
        <w:t xml:space="preserve"> </w:t>
      </w:r>
      <w:r w:rsidRPr="002D35B9">
        <w:rPr>
          <w:rFonts w:ascii="Times New Roman" w:hAnsi="Times New Roman" w:cs="Times New Roman"/>
          <w:sz w:val="28"/>
        </w:rPr>
        <w:t>(Приложение 2);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lastRenderedPageBreak/>
        <w:t>-исполнение расходов бюджета муниципального образования город Советск по ведомственной структуре расходов бюджета за 2012 год (Приложение 3);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- исполнение расходов бюджета муниципального образования город Советск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 по разделам и подразделам классификации расходов бюджета  за 2012 год</w:t>
      </w:r>
      <w:r>
        <w:rPr>
          <w:rFonts w:ascii="Times New Roman" w:hAnsi="Times New Roman" w:cs="Times New Roman"/>
          <w:sz w:val="28"/>
        </w:rPr>
        <w:t xml:space="preserve"> </w:t>
      </w:r>
      <w:r w:rsidRPr="002D35B9">
        <w:rPr>
          <w:rFonts w:ascii="Times New Roman" w:hAnsi="Times New Roman" w:cs="Times New Roman"/>
          <w:sz w:val="28"/>
        </w:rPr>
        <w:t>(Приложение 4);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-исполнение по источникам  финансирования дефицита бюджета муниципального образования город Советск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 по кодам </w:t>
      </w:r>
      <w:proofErr w:type="gramStart"/>
      <w:r w:rsidRPr="002D35B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 w:rsidRPr="002D35B9">
        <w:rPr>
          <w:rFonts w:ascii="Times New Roman" w:hAnsi="Times New Roman" w:cs="Times New Roman"/>
          <w:sz w:val="28"/>
        </w:rPr>
        <w:t xml:space="preserve"> за 2012 год (Приложение 5);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-отчет об исполнении межбюджетных трансфертов, передаваемых из бюджета МО город Советск в бюджет МО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Щекинский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2012 год (Приложение 6);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-отчет о распределении субсидий, передаваемых бюджету МО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Щекинский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 из бюджета МО город Советск на решение вопросов межмуниципального характера за 2012</w:t>
      </w:r>
      <w:r w:rsidR="00484AD4">
        <w:rPr>
          <w:rFonts w:ascii="Times New Roman" w:hAnsi="Times New Roman" w:cs="Times New Roman"/>
          <w:sz w:val="28"/>
        </w:rPr>
        <w:t xml:space="preserve"> </w:t>
      </w:r>
      <w:r w:rsidRPr="002D35B9">
        <w:rPr>
          <w:rFonts w:ascii="Times New Roman" w:hAnsi="Times New Roman" w:cs="Times New Roman"/>
          <w:sz w:val="28"/>
        </w:rPr>
        <w:t>год (Приложение 7);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>-отчет об исполнении 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МО город Советск  в 2012 году (Приложение 8);</w:t>
      </w:r>
    </w:p>
    <w:p w:rsidR="00484AD4" w:rsidRPr="00484AD4" w:rsidRDefault="002D35B9" w:rsidP="0048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B9">
        <w:rPr>
          <w:rFonts w:ascii="Times New Roman" w:hAnsi="Times New Roman" w:cs="Times New Roman"/>
          <w:sz w:val="28"/>
        </w:rPr>
        <w:t>2</w:t>
      </w:r>
      <w:r w:rsidRPr="00484AD4">
        <w:rPr>
          <w:rFonts w:ascii="Times New Roman" w:hAnsi="Times New Roman" w:cs="Times New Roman"/>
          <w:sz w:val="28"/>
        </w:rPr>
        <w:t xml:space="preserve">. </w:t>
      </w:r>
      <w:r w:rsidR="00484AD4" w:rsidRPr="00484AD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484AD4" w:rsidRPr="00484A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484AD4" w:rsidRPr="00484AD4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г. Советск.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в силу со дня опубликования.</w:t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35B9">
        <w:rPr>
          <w:rFonts w:ascii="Times New Roman" w:hAnsi="Times New Roman" w:cs="Times New Roman"/>
          <w:sz w:val="28"/>
        </w:rPr>
        <w:t>Контроль за</w:t>
      </w:r>
      <w:proofErr w:type="gramEnd"/>
      <w:r w:rsidRPr="002D35B9">
        <w:rPr>
          <w:rFonts w:ascii="Times New Roman" w:hAnsi="Times New Roman" w:cs="Times New Roman"/>
          <w:sz w:val="28"/>
        </w:rPr>
        <w:t xml:space="preserve"> исполнением данного решения возложить на главу администрации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 (Мясоедов Н.В.). </w:t>
      </w:r>
    </w:p>
    <w:p w:rsid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</w:p>
    <w:p w:rsidR="00484AD4" w:rsidRPr="002D35B9" w:rsidRDefault="00484AD4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</w:p>
    <w:p w:rsidR="002D35B9" w:rsidRPr="002D35B9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484AD4" w:rsidRDefault="002D35B9" w:rsidP="002D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5B9">
        <w:rPr>
          <w:rFonts w:ascii="Times New Roman" w:hAnsi="Times New Roman" w:cs="Times New Roman"/>
          <w:sz w:val="28"/>
        </w:rPr>
        <w:t xml:space="preserve">город Советск </w:t>
      </w:r>
      <w:proofErr w:type="spellStart"/>
      <w:r w:rsidRPr="002D35B9">
        <w:rPr>
          <w:rFonts w:ascii="Times New Roman" w:hAnsi="Times New Roman" w:cs="Times New Roman"/>
          <w:sz w:val="28"/>
        </w:rPr>
        <w:t>Щекинского</w:t>
      </w:r>
      <w:proofErr w:type="spellEnd"/>
      <w:r w:rsidRPr="002D35B9">
        <w:rPr>
          <w:rFonts w:ascii="Times New Roman" w:hAnsi="Times New Roman" w:cs="Times New Roman"/>
          <w:sz w:val="28"/>
        </w:rPr>
        <w:t xml:space="preserve"> района</w:t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r w:rsidRPr="002D35B9">
        <w:rPr>
          <w:rFonts w:ascii="Times New Roman" w:hAnsi="Times New Roman" w:cs="Times New Roman"/>
          <w:sz w:val="28"/>
        </w:rPr>
        <w:tab/>
      </w:r>
      <w:proofErr w:type="spellStart"/>
      <w:r w:rsidRPr="002D35B9">
        <w:rPr>
          <w:rFonts w:ascii="Times New Roman" w:hAnsi="Times New Roman" w:cs="Times New Roman"/>
          <w:sz w:val="28"/>
        </w:rPr>
        <w:t>В.П.Кропотов</w:t>
      </w:r>
      <w:proofErr w:type="spellEnd"/>
      <w:r w:rsidRPr="002D35B9">
        <w:rPr>
          <w:rFonts w:ascii="Times New Roman" w:hAnsi="Times New Roman" w:cs="Times New Roman"/>
          <w:sz w:val="28"/>
        </w:rPr>
        <w:tab/>
      </w:r>
    </w:p>
    <w:p w:rsidR="00484AD4" w:rsidRDefault="00484A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к исполнению бюджета муниципального образования город Советск </w:t>
      </w:r>
      <w:proofErr w:type="spellStart"/>
      <w:r w:rsidRPr="003F642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b/>
          <w:sz w:val="28"/>
          <w:szCs w:val="28"/>
        </w:rPr>
        <w:t xml:space="preserve"> района за 2012 год</w:t>
      </w: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426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 xml:space="preserve">       За 2012 год в бюджет МО г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 xml:space="preserve"> района поступило доходов в сумме 20205,3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 xml:space="preserve"> или  свыше 106,9% к плану года (18901,9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>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 xml:space="preserve">      Плановые назначения по доходным источникам за 2012 год исполнены следующим образом: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-Налог на доходы физических лиц исполнен в сумме 5786,1тыс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уб, что составляет 106,3% к плану года (план  год.-5443,2 тыс.руб.);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-Единый сельскохозяйственный налог исполнен в сумме 1,1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100% к плану года (план 1,1тыс.руб);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-Налог на имущество физических лиц исполнен в сумме 111,5тыс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110,4% к плану года (план – 101,0тыс.руб);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-Земельный налог  исполнен в сумме 4384,1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уб., что составляет  128,1% к плану года (план -3423,2тыс.руб);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-Государственная пошлина исполнена в сумме 0,8тыс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 xml:space="preserve">уб (план -0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>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-Доходы от использования имущества, находящегося в государственной и муниципальной собственности  исполнены в сумме 853,1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уб., что составляет 142,4% к плану года (план – 599,0 тыс.руб.);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-Доходы от продажи материальных и нематериальных активов исполнены в сумме 1382,6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100,5% к плану года (план -1375,2тыс.руб);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 доходы от оказания платных услуг и компенсации затрат государства исполнены в сумме 438,2тыс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 xml:space="preserve">уб. или 100% к плану года (план -438,2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>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 прочие неналоговые доходы исполнены в сумме 7,9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-Безвозмездные поступления исполнены  в сумме 7239,9тыс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 xml:space="preserve">уб., что составляет 96,3% к плану года (план -7521,0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F6426" w:rsidRPr="003F6426" w:rsidRDefault="003F6426" w:rsidP="003F64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дотаций бюджетам поселений на выравнивание уровня бюджетной обеспеченности  поступило в сумме 2319,8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 xml:space="preserve">ублей или 100% к плану года (план-2319,8 </w:t>
      </w:r>
      <w:proofErr w:type="spellStart"/>
      <w:r w:rsidRPr="003F64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F6426">
        <w:rPr>
          <w:rFonts w:ascii="Times New Roman" w:hAnsi="Times New Roman" w:cs="Times New Roman"/>
          <w:sz w:val="26"/>
          <w:szCs w:val="26"/>
        </w:rPr>
        <w:t>);</w:t>
      </w:r>
    </w:p>
    <w:p w:rsidR="003F6426" w:rsidRPr="003F6426" w:rsidRDefault="003F6426" w:rsidP="003F64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субвенций бюджетам поселений на осуществление первичного воинского учета, где отсутствуют военные комиссариаты получено в сумме 209,3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ублей  или 100 % к  плану года (план-209,3тыс.руб);</w:t>
      </w:r>
    </w:p>
    <w:p w:rsidR="003F6426" w:rsidRPr="003F6426" w:rsidRDefault="003F6426" w:rsidP="003F64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прочих межбюджетных трансфертов бюджетам поселений получено в сумме 4545,9 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94,2% к плану года (план -4827,0тыс.руб).</w:t>
      </w:r>
    </w:p>
    <w:p w:rsidR="003F6426" w:rsidRPr="003F6426" w:rsidRDefault="003F6426" w:rsidP="003F64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Безвозмездные поступления от негосударственных (муниципальных)  организаций  поступили в сумме 146,0тыс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100% к плану года (план -146,0тыс.руб);</w:t>
      </w:r>
    </w:p>
    <w:p w:rsidR="003F6426" w:rsidRDefault="003F6426" w:rsidP="003F64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26">
        <w:rPr>
          <w:rFonts w:ascii="Times New Roman" w:hAnsi="Times New Roman" w:cs="Times New Roman"/>
          <w:sz w:val="26"/>
          <w:szCs w:val="26"/>
        </w:rPr>
        <w:t>Межбюджетных трансфертов, передаваемых бюджетам поселений на комплектование книжных фондов  поступило 18,9тыс</w:t>
      </w:r>
      <w:proofErr w:type="gramStart"/>
      <w:r w:rsidRPr="003F64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6426">
        <w:rPr>
          <w:rFonts w:ascii="Times New Roman" w:hAnsi="Times New Roman" w:cs="Times New Roman"/>
          <w:sz w:val="26"/>
          <w:szCs w:val="26"/>
        </w:rPr>
        <w:t>уб. или 100% к плану года (план 18,9тыс.руб).</w:t>
      </w:r>
    </w:p>
    <w:p w:rsidR="007F3672" w:rsidRDefault="007F3672" w:rsidP="007F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672" w:rsidRDefault="007F3672" w:rsidP="007F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672" w:rsidRDefault="007F3672" w:rsidP="007F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672" w:rsidRPr="003F6426" w:rsidRDefault="007F3672" w:rsidP="007F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F6426" w:rsidRPr="003F6426" w:rsidRDefault="003F6426" w:rsidP="003F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F642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РАСХОДЫ БЮДЖЕТА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   Расходная часть бюджета МО г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района за 2012 год исполнена в сумме 24210,0 тыс. рублей, что составляет 98,3% к плану года (план-24619,3тыс.руб). 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 В течени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 2012 года своевременно решались вопросы: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- по выплате заработной платы работникам подведомственных казенных учреждений и аппарата управления; 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по расчетам за потребленные топливно-энергетические ресурсы;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расчетов с поставщиками и подрядчиками за выполненные работы, оказанные услуги, в соответствии с заключенными договорами (контрактами);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по  прочим принятым на 2012 год обязательствам.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Структура расходов бюджета МО г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района за 2012 год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0"/>
        <w:gridCol w:w="4320"/>
        <w:gridCol w:w="1980"/>
        <w:gridCol w:w="2340"/>
      </w:tblGrid>
      <w:tr w:rsidR="003F6426" w:rsidRPr="003F6426" w:rsidTr="003F6426">
        <w:trPr>
          <w:trHeight w:val="6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за 2012 год.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Удельный вес в объеме расходов за 2012 год</w:t>
            </w:r>
            <w:proofErr w:type="gramStart"/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3F6426" w:rsidRPr="003F6426" w:rsidTr="003F6426">
        <w:trPr>
          <w:trHeight w:val="334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5418,0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22,4%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0,9%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0,4%</w:t>
            </w:r>
          </w:p>
        </w:tc>
      </w:tr>
      <w:tr w:rsidR="003F6426" w:rsidRPr="003F6426" w:rsidTr="003F6426">
        <w:trPr>
          <w:trHeight w:val="30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4787,9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19,8%</w:t>
            </w:r>
          </w:p>
        </w:tc>
      </w:tr>
      <w:tr w:rsidR="003F6426" w:rsidRPr="003F6426" w:rsidTr="003F6426">
        <w:trPr>
          <w:trHeight w:val="30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6760,7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27,9%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0,6%</w:t>
            </w:r>
          </w:p>
        </w:tc>
      </w:tr>
      <w:tr w:rsidR="003F6426" w:rsidRPr="003F6426" w:rsidTr="003F6426">
        <w:trPr>
          <w:trHeight w:val="3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0,1%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ФИЗИЧЕКСКАЯ КУЛЬТУРА И СПОРТ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11,2%</w:t>
            </w:r>
          </w:p>
        </w:tc>
      </w:tr>
      <w:tr w:rsidR="003F6426" w:rsidRPr="003F6426" w:rsidTr="003F6426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24210,0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В структуре произведенных расходов наибольшую величину за 2012 год имели расходы на жилищно-коммунальное хозяйство – 27,9%, на общегосударственные вопросы -22,4%,  на национальную экономику -19,8%, культуру и кинематографию-16,7% и физическую 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культуру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 и спорт -11,2%.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 По состоянию на 1.01.2013года: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- просроченная кредиторская задолженность составляет -0,2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дебиторская задолженность составляет 111,5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6426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 w:rsidRPr="003F6426">
        <w:rPr>
          <w:rFonts w:ascii="Times New Roman" w:hAnsi="Times New Roman" w:cs="Times New Roman"/>
          <w:sz w:val="28"/>
          <w:szCs w:val="28"/>
        </w:rPr>
        <w:t xml:space="preserve"> расходы составили 5418,0тыс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98,9%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708"/>
        <w:gridCol w:w="1262"/>
        <w:gridCol w:w="1440"/>
        <w:gridCol w:w="1620"/>
      </w:tblGrid>
      <w:tr w:rsidR="003F6426" w:rsidRPr="003F6426" w:rsidTr="003F6426">
        <w:trPr>
          <w:trHeight w:val="3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 (р. 01)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5418,0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98,9%</w:t>
            </w:r>
          </w:p>
        </w:tc>
      </w:tr>
      <w:tr w:rsidR="003F6426" w:rsidRPr="003F6426" w:rsidTr="003F6426">
        <w:trPr>
          <w:trHeight w:val="6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0103)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211,3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207,1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98,0%</w:t>
            </w:r>
          </w:p>
        </w:tc>
      </w:tr>
      <w:tr w:rsidR="003F6426" w:rsidRPr="003F6426" w:rsidTr="003F6426">
        <w:trPr>
          <w:trHeight w:val="77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0104)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4102,5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4064,8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99,1%</w:t>
            </w:r>
          </w:p>
        </w:tc>
      </w:tr>
      <w:tr w:rsidR="003F6426" w:rsidRPr="003F6426" w:rsidTr="003F6426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0106)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1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0113)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1050,9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1032,8</w:t>
            </w: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sz w:val="18"/>
                <w:szCs w:val="18"/>
              </w:rPr>
              <w:t>98,3%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    </w:t>
      </w: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03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(</w:t>
      </w:r>
      <w:proofErr w:type="spellStart"/>
      <w:r w:rsidRPr="003F6426">
        <w:rPr>
          <w:rFonts w:ascii="Times New Roman" w:hAnsi="Times New Roman" w:cs="Times New Roman"/>
          <w:bCs/>
          <w:sz w:val="28"/>
          <w:szCs w:val="28"/>
        </w:rPr>
        <w:t>представи-тельных</w:t>
      </w:r>
      <w:proofErr w:type="spellEnd"/>
      <w:r w:rsidRPr="003F6426">
        <w:rPr>
          <w:rFonts w:ascii="Times New Roman" w:hAnsi="Times New Roman" w:cs="Times New Roman"/>
          <w:bCs/>
          <w:sz w:val="28"/>
          <w:szCs w:val="28"/>
        </w:rPr>
        <w:t>)  органов государственной власти и местного самоуправления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» произведены расходы на обеспечение деятельности Собрания депутатов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сумме 207,1 тыс. рублей или 98 % к плану года(план -211,3тыс.руб).</w:t>
      </w:r>
      <w:r w:rsidRPr="003F642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По подразделу 04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sz w:val="28"/>
          <w:szCs w:val="28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произведены расходы в сумме 4064,8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или 99,1% к плану года (план -4102,5тыс.руб),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 на обеспечение функционирования администрации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сумме 4037,7тыс. рублей или 99,1% к  плану года (план -4075,4тыс.руб).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-на решение вопросов  местного значения межмуниципального характера (формирование и содержание муниципального архива) в сумме 26,6тыс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-на решение вопросов местного значения в соответствии с заключенными соглашениями в сумме 0,5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По подразделу 06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 произведены расходы на решение вопросов местного значения в соответствии с заключенными соглашениями (формирование и исполнение бюджета, финансовый контроль) в сумме 113,3 тыс. руб.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13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расходы»</w:t>
      </w:r>
      <w:r w:rsidRPr="003F6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произведены расходы на сумму 1032,8тыс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98,3% к плану года (1050,9тыс.руб)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на реализацию государственной политики в области приватизации и управления государственной и муниципальной собственности (содержание казны, оценка недвижимости, оформление документации на недвижимость)  в сумме 139,1тыс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на реализацию государственных функций, связанных с общегосударственным управлением (публикация в СМИ нормативно-правовых актов, предоставление статистической информации, техническое обслуживание и пуск газа в мемориал «Вечный огонь», исполнение судебных актов) в сумме 302,0тыс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 или 99,9% к плану года (план-302,4тыс.руб);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содержание МКУ «Централизованная бухгалтерия МО г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оветск» в сумме  591,7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руб. или 97,1% к плану года (604,9т.руб)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209,3тыс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Мобилизационная и вневойсковая подготовка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03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Мобилизационная и вневойсковая подготовка» произведены расходы на содержание работника военно-учетного стола в сумме 209,3тыс. рублей или 100 %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 По разделу 03 «Национальная безопасность и правоохранительная деятельность»</w:t>
      </w:r>
      <w:r w:rsidRPr="003F6426">
        <w:rPr>
          <w:rFonts w:ascii="Times New Roman" w:hAnsi="Times New Roman" w:cs="Times New Roman"/>
          <w:sz w:val="28"/>
          <w:szCs w:val="28"/>
        </w:rPr>
        <w:t xml:space="preserve"> расходы составили 83,6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83,6</w:t>
            </w: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0309)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F642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подразделу 09 </w:t>
      </w:r>
      <w:r w:rsidRPr="003F64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 w:rsidRPr="003F6426">
        <w:rPr>
          <w:rFonts w:ascii="Times New Roman" w:hAnsi="Times New Roman" w:cs="Times New Roman"/>
          <w:color w:val="000000"/>
          <w:sz w:val="28"/>
          <w:szCs w:val="28"/>
        </w:rPr>
        <w:t>» произведены расходы в сумме 83,6 тыс</w:t>
      </w:r>
      <w:proofErr w:type="gramStart"/>
      <w:r w:rsidRPr="003F642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color w:val="000000"/>
          <w:sz w:val="28"/>
          <w:szCs w:val="28"/>
        </w:rPr>
        <w:t>уб. или 100% к плану года,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color w:val="000000"/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 в сумме 35,5тыс</w:t>
      </w:r>
      <w:proofErr w:type="gramStart"/>
      <w:r w:rsidRPr="003F642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color w:val="000000"/>
          <w:sz w:val="28"/>
          <w:szCs w:val="28"/>
        </w:rPr>
        <w:t>уб.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color w:val="000000"/>
          <w:sz w:val="28"/>
          <w:szCs w:val="28"/>
        </w:rPr>
        <w:t>- на подготовку населения и организаций к действиям в чрезвычайной ситуации (приобретение противогазов, аптечек, информационных табличек) на сумму 48,1тыс</w:t>
      </w:r>
      <w:proofErr w:type="gramStart"/>
      <w:r w:rsidRPr="003F642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color w:val="000000"/>
          <w:sz w:val="28"/>
          <w:szCs w:val="28"/>
        </w:rPr>
        <w:t>уб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>По разделу 04 «Национальная экономика»</w:t>
      </w:r>
      <w:r w:rsidRPr="003F6426">
        <w:rPr>
          <w:rFonts w:ascii="Times New Roman" w:hAnsi="Times New Roman" w:cs="Times New Roman"/>
          <w:sz w:val="28"/>
          <w:szCs w:val="28"/>
        </w:rPr>
        <w:t xml:space="preserve"> расходы составили 4787,9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F6426" w:rsidRPr="003F6426" w:rsidTr="003F6426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Дорожное хозяйство (дорожные фонды</w:t>
            </w:r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)(</w:t>
            </w:r>
            <w:proofErr w:type="spellStart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0409)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4772,0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4771,2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0412)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09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«Дорожное хозяйство (дорожные фонды)» произведены расходы в сумме 4771,2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или 100% к плану года,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-727,6тыс.руб. или 100% к плану года  по МЦП «Организация и проведение мероприятий по благоустройству и озеленению на территории МО г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оветск на 2012 г и плановый период 2013 и 2014 годов»  (содержание дорог в зимних условиях);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lastRenderedPageBreak/>
        <w:t>-1700,5 тыс.руб. или 100% к плану года по МЦП «Модернизация и развитие автомобильных дорог на территории МО г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района в 2012-2016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»;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-16,8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99,4% к плану года (план-16,9тыс.руб) на проверку сметной документации;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-1350тыс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 или 100% к плану года на ремонт дорог общего пользования местного значения (областные средства);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-406,3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99,8% к плану года (план 407,0тыс.руб)  на развитие автомобильных дорог общего пользования в ТО на 2009-2016гг (областные средства);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-570,0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или 100% к плану года по МЦП «Модернизация и развитие автомобильных дорог в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 xml:space="preserve"> районе в 2012-2016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»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  </w:t>
      </w: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12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«Другие вопросы в области национальной экономики» произведены расходы в сумме 16,7тыс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100% к плану года на осуществление части полномочий по решению вопросов местного значения в соответствии с заключенными соглашениями (организация строительства).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>По разделу 05 «Жилищно-коммунальное хозяйство»</w:t>
      </w:r>
      <w:r w:rsidRPr="003F6426">
        <w:rPr>
          <w:rFonts w:ascii="Times New Roman" w:hAnsi="Times New Roman" w:cs="Times New Roman"/>
          <w:sz w:val="20"/>
          <w:szCs w:val="20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6760,7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96,3%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6760,7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96,3%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Жилищное хозяйство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0501)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994,2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1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Коммунальное хозяйство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0502)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2541,2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2289,2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90,1%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0503)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2563,6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0505)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913,7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</w:t>
      </w:r>
      <w:r w:rsidRPr="003F6426">
        <w:rPr>
          <w:rFonts w:ascii="Times New Roman" w:hAnsi="Times New Roman" w:cs="Times New Roman"/>
          <w:i/>
          <w:sz w:val="28"/>
          <w:szCs w:val="28"/>
        </w:rPr>
        <w:t>01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Жилищное хозяйство»</w:t>
      </w:r>
      <w:r w:rsidRPr="003F642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произведены расходы в сумме 994,2тыс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 или 100% к плану года (план 994,6тыс.руб),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-221,0тыс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ремонт шиферной кровли Энергетиков 5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-42,7тыс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ремонт шиферной кровли Школьная 9а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-4,8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содержание свободного муниципального жилья или 98% к плану года (план-4,9тыс.руб);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-77,7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оценку технического состояния наружных стен и фундаментов жилых домов Школьная 8а, Парковая 22а, Октябрьский пер 9 или 99,9% к плану года (план-77,8тыс.руб);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-449,0тыс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уб.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кап.ремонту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МКД (185-ФЗ)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-99,5тыс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по МЦП «По проведению ремонта жилых помещений ветеранов ВОВ в МО г. Советск на 2012 год и плановый период 2013и 2014 годов» или 99,9% к плану года (план-99,6тыс.руб);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-99,5 тыс.руб. по МЦП «По проведению ремонта жилых помещений муниципального жилого фонда в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оветск на 2012 год  и плановый период 2013 и 2014 годов» или 99,9% к плану года (план-99,6тыс.руб). 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02</w:t>
      </w:r>
      <w:r w:rsidRPr="003F6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«Коммунальное хозяйство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F642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 расходы на поддержку коммунального хозяйства в сумме 2289,2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или 90,1% к плану года,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-1457,2 тыс.руб. по МЦП «По замене оборудования и инженерных сетей по объектам водоотведения и очистке стоков в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оветск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на 2012 год и плановый период 2013 и 2014 годов»( в т.ч.Народный бюджет -880,0тыс.руб)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301,6тыс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уб.на ремонт и замену пожарных гидрантов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-1,8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за обход и осмотр трассы газопровода ул. Набережная;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-21,0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оплату отопления свободного муниципального жилья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-409,6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устранение аварийной ситуации на КНС №1 из резервного фонда(в т.ч. средства района-359,6тыс.руб)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-98,0тыс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разработку схем теплоснабжения или 28% к плану года (план- 350,0тыс.руб).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03</w:t>
      </w:r>
      <w:r w:rsidRPr="003F6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«Благоустройство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F642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 расходы на благоустройство территории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оветск  в сумме 2563,6 тыс. рублей или 100% к плану года(план -2563,8тыс.руб) 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 по МЦП «Организация и проведение мероприятий по благоустройству и озеленению на территории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оветск на 2012 год и плановый период 2013 и 2014 годов в сумме 2381,9тыс.руб или 100% к плану года (план 2382,1тыс.руб), в т.ч: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666,0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на уличное освещение;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398,2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уб.техническое обслуживание ЗТП №10,27 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10,0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побелка деревьев;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236,6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выкашивание газонов;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249,2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валка деревьев;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98,8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содержание территории пляжа;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613,3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содержание территории;</w:t>
      </w:r>
    </w:p>
    <w:p w:rsidR="003F6426" w:rsidRPr="003F6426" w:rsidRDefault="003F6426" w:rsidP="003F64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109,8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установка дорожных знаков.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- 105,6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приобретение мусорных контейнеров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-11,7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приемка и размещение ТБО или 100% к плану года;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-64,4 тыс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уб. приобретение ламп для уличного освещения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05</w:t>
      </w:r>
      <w:r w:rsidRPr="003F6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«Другие вопросы в области жилищно-коммунального хозяйства» произведены расходы на содержание МКУ «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СГУЖиБ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» в сумме  913,7тыс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99,6% к плану года (план года-917,4тыс.руб).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По разделу 07 «Образование» </w:t>
      </w:r>
      <w:r w:rsidRPr="003F6426">
        <w:rPr>
          <w:rFonts w:ascii="Times New Roman" w:hAnsi="Times New Roman" w:cs="Times New Roman"/>
          <w:sz w:val="20"/>
          <w:szCs w:val="20"/>
        </w:rPr>
        <w:t xml:space="preserve">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153,5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99,9% к уточненному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53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07)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F6426" w:rsidRPr="003F6426" w:rsidTr="003F6426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0705)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F6426" w:rsidRPr="003F6426" w:rsidTr="003F6426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Молодежная политика и оздоровление детей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0707)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99,9%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подразделу 05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Профессиональная подготовка, переподготовка и повышение квалификации» произведены расходы  на переподготовку и повышение квалификации работников администрации в сумме 13,0 тыс. рублей или 100,0%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 подразделу 07</w:t>
      </w: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«Молодежная политика и оздоровление детей» произведены расходы по МЦП «Занятость и трудоустройство несовершеннолетних в МО г</w:t>
      </w:r>
      <w:proofErr w:type="gram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оветск в 2010-2012гг» в сумме 140,5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</w:t>
      </w:r>
      <w:proofErr w:type="spellStart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>руб</w:t>
      </w:r>
      <w:proofErr w:type="spellEnd"/>
      <w:r w:rsidRPr="003F6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99,9%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По разделу 08 «Культура и кинематография »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4044,8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 или 99,0% к 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0801)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4086,6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подразделу 01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«Культура» расходы составили 4044,8 тыс. рублей или 99% к плану год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план -4086,6тыс.руб), в том числе: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на содержание МКУК МКК «Дом культуры» расходы составили 3287,4тыс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 xml:space="preserve">уб или 99% к  плану года(3319,9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);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>- на содержание МКУК «Советская городская библиотека» расходы составили 757,4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(план- 766,7тыс.руб) или 98,8%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По разделу  10 «Социальная политика»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31,2тыс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населения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1003)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03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«Социальное обеспечение населения» расходы составили 31,2 тыс. руб. на приобретение Новогодних подарков  многодетным и малообеспеченным семьям или 100% к плану года.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26">
        <w:rPr>
          <w:rFonts w:ascii="Times New Roman" w:hAnsi="Times New Roman" w:cs="Times New Roman"/>
          <w:b/>
          <w:sz w:val="28"/>
          <w:szCs w:val="28"/>
        </w:rPr>
        <w:t xml:space="preserve">По разделу 11 « Физическая культура и спорт » </w:t>
      </w:r>
      <w:r w:rsidRPr="003F6426">
        <w:rPr>
          <w:rFonts w:ascii="Times New Roman" w:hAnsi="Times New Roman" w:cs="Times New Roman"/>
          <w:sz w:val="28"/>
          <w:szCs w:val="28"/>
        </w:rPr>
        <w:t>расходы составили 2721,0 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ублей или 98,2% к уточненному плану отчетного периода: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3F6426" w:rsidRPr="003F6426" w:rsidTr="003F6426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F6426" w:rsidRPr="003F6426" w:rsidTr="003F6426">
        <w:trPr>
          <w:trHeight w:val="40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</w:t>
            </w:r>
            <w:proofErr w:type="gramStart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Т(</w:t>
            </w:r>
            <w:proofErr w:type="spellStart"/>
            <w:proofErr w:type="gram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</w:t>
            </w:r>
            <w:proofErr w:type="spellEnd"/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11)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1101)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2151,3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98,4%</w:t>
            </w:r>
          </w:p>
        </w:tc>
      </w:tr>
      <w:tr w:rsidR="003F6426" w:rsidRPr="003F6426" w:rsidTr="003F6426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 (</w:t>
            </w:r>
            <w:proofErr w:type="spellStart"/>
            <w:proofErr w:type="gram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1105)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26" w:rsidRPr="003F6426" w:rsidRDefault="003F6426" w:rsidP="003F64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64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97,4%</w:t>
            </w:r>
          </w:p>
        </w:tc>
      </w:tr>
    </w:tbl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01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произведены расходы на содержание МКУ «Стадион им.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Е.И.Холодкова</w:t>
      </w:r>
      <w:proofErr w:type="spellEnd"/>
      <w:r w:rsidRPr="003F6426">
        <w:rPr>
          <w:rFonts w:ascii="Times New Roman" w:hAnsi="Times New Roman" w:cs="Times New Roman"/>
          <w:sz w:val="28"/>
          <w:szCs w:val="28"/>
        </w:rPr>
        <w:t>» в сумме 2151,3тыс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уб. или 98,4% к  плану года(план-2186,5тыс.руб).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</w:rPr>
        <w:t>По подразделу 05</w:t>
      </w:r>
      <w:r w:rsidRPr="003F6426">
        <w:rPr>
          <w:rFonts w:ascii="Times New Roman" w:hAnsi="Times New Roman" w:cs="Times New Roman"/>
          <w:sz w:val="28"/>
          <w:szCs w:val="28"/>
        </w:rPr>
        <w:t xml:space="preserve"> «Другие вопросы в области физической культуры и спорта» произведены расходы на содержание Централизованной бухгалтерии в сумме 569,7 тыс. рублей или 97,4% к уточненному плану год</w:t>
      </w:r>
      <w:proofErr w:type="gramStart"/>
      <w:r w:rsidRPr="003F64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F6426">
        <w:rPr>
          <w:rFonts w:ascii="Times New Roman" w:hAnsi="Times New Roman" w:cs="Times New Roman"/>
          <w:sz w:val="28"/>
          <w:szCs w:val="28"/>
        </w:rPr>
        <w:t>план-584,8тыс.руб).</w:t>
      </w: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26" w:rsidRPr="003F6426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Начальник сектора по финансовым вопросам </w:t>
      </w:r>
    </w:p>
    <w:p w:rsidR="004323B0" w:rsidRDefault="003F6426" w:rsidP="003F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6">
        <w:rPr>
          <w:rFonts w:ascii="Times New Roman" w:hAnsi="Times New Roman" w:cs="Times New Roman"/>
          <w:sz w:val="28"/>
          <w:szCs w:val="28"/>
        </w:rPr>
        <w:t xml:space="preserve">и муниципальному заказу                                                       </w:t>
      </w:r>
      <w:proofErr w:type="spellStart"/>
      <w:r w:rsidRPr="003F6426">
        <w:rPr>
          <w:rFonts w:ascii="Times New Roman" w:hAnsi="Times New Roman" w:cs="Times New Roman"/>
          <w:sz w:val="28"/>
          <w:szCs w:val="28"/>
        </w:rPr>
        <w:t>Н.Ю.Грекова</w:t>
      </w:r>
      <w:proofErr w:type="spellEnd"/>
    </w:p>
    <w:p w:rsidR="004323B0" w:rsidRDefault="004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6359" w:rsidRPr="001D6359" w:rsidRDefault="00484AD4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1D6359" w:rsidRPr="001D6359">
        <w:rPr>
          <w:rFonts w:ascii="Times New Roman" w:hAnsi="Times New Roman" w:cs="Times New Roman"/>
          <w:sz w:val="28"/>
          <w:szCs w:val="28"/>
        </w:rPr>
        <w:t>ение 2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по проекту решения Собрания депутатов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D63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D6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359" w:rsidRPr="001D6359" w:rsidRDefault="00484AD4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</w:t>
      </w:r>
      <w:r w:rsidR="001D6359" w:rsidRPr="001D635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6359" w:rsidRPr="001D6359" w:rsidRDefault="001D6359" w:rsidP="001D63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359">
        <w:rPr>
          <w:rFonts w:ascii="Times New Roman" w:hAnsi="Times New Roman" w:cs="Times New Roman"/>
          <w:sz w:val="28"/>
          <w:szCs w:val="28"/>
        </w:rPr>
        <w:t xml:space="preserve">от </w:t>
      </w:r>
      <w:r w:rsidR="004323B0">
        <w:rPr>
          <w:rFonts w:ascii="Times New Roman" w:hAnsi="Times New Roman" w:cs="Times New Roman"/>
          <w:sz w:val="28"/>
          <w:szCs w:val="28"/>
        </w:rPr>
        <w:t xml:space="preserve">08 мая </w:t>
      </w:r>
      <w:r w:rsidR="00F8421A">
        <w:rPr>
          <w:rFonts w:ascii="Times New Roman" w:hAnsi="Times New Roman" w:cs="Times New Roman"/>
          <w:sz w:val="28"/>
          <w:szCs w:val="28"/>
        </w:rPr>
        <w:t>2013</w:t>
      </w:r>
      <w:r w:rsidRPr="001D63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23B0">
        <w:rPr>
          <w:rFonts w:ascii="Times New Roman" w:hAnsi="Times New Roman" w:cs="Times New Roman"/>
          <w:sz w:val="28"/>
          <w:szCs w:val="28"/>
        </w:rPr>
        <w:t>89-232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5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D6359" w:rsidRPr="001D6359" w:rsidRDefault="001D6359" w:rsidP="001D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59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1D6359">
        <w:rPr>
          <w:rFonts w:ascii="Times New Roman" w:hAnsi="Times New Roman" w:cs="Times New Roman"/>
          <w:b/>
          <w:sz w:val="28"/>
          <w:szCs w:val="28"/>
        </w:rPr>
        <w:t xml:space="preserve"> района «Об исполнении бюджета муниципального образования город С</w:t>
      </w:r>
      <w:r w:rsidR="00F8421A">
        <w:rPr>
          <w:rFonts w:ascii="Times New Roman" w:hAnsi="Times New Roman" w:cs="Times New Roman"/>
          <w:b/>
          <w:sz w:val="28"/>
          <w:szCs w:val="28"/>
        </w:rPr>
        <w:t xml:space="preserve">оветск </w:t>
      </w:r>
      <w:proofErr w:type="spellStart"/>
      <w:r w:rsidR="00F8421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8421A">
        <w:rPr>
          <w:rFonts w:ascii="Times New Roman" w:hAnsi="Times New Roman" w:cs="Times New Roman"/>
          <w:b/>
          <w:sz w:val="28"/>
          <w:szCs w:val="28"/>
        </w:rPr>
        <w:t xml:space="preserve"> района за 2012</w:t>
      </w:r>
      <w:r w:rsidRPr="001D635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230"/>
      </w:tblGrid>
      <w:tr w:rsidR="001D6359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1D6359" w:rsidRPr="001D63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1D6359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D6359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D6359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8F01C2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О.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9" w:rsidRPr="001D6359" w:rsidRDefault="001D6359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город Советск </w:t>
            </w:r>
            <w:proofErr w:type="spellStart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F01C2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C2" w:rsidRPr="001D6359" w:rsidRDefault="008F01C2" w:rsidP="00340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C2" w:rsidRPr="001D6359" w:rsidRDefault="008F01C2" w:rsidP="00340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Мясоедов Н.В.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C2" w:rsidRPr="001D6359" w:rsidRDefault="008F01C2" w:rsidP="00340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город Советск </w:t>
            </w:r>
            <w:proofErr w:type="spellStart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8421A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421A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Pr="001D6359" w:rsidRDefault="00F8421A" w:rsidP="00245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Pr="001D6359" w:rsidRDefault="00F8421A" w:rsidP="00245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финансовым вопросам и муниципальному заказу</w:t>
            </w:r>
          </w:p>
        </w:tc>
      </w:tr>
      <w:tr w:rsidR="00F8421A" w:rsidRPr="001D6359" w:rsidTr="00F84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Pr="001D6359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1A" w:rsidRPr="001D6359" w:rsidRDefault="00F8421A" w:rsidP="00F84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59" w:rsidRPr="001D6359" w:rsidRDefault="001D6359" w:rsidP="001D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359" w:rsidRPr="001D6359" w:rsidRDefault="001D6359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896" w:rsidRPr="001D6359" w:rsidRDefault="00EF3896" w:rsidP="001D63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3896" w:rsidRPr="001D6359" w:rsidSect="00E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D15"/>
    <w:multiLevelType w:val="hybridMultilevel"/>
    <w:tmpl w:val="014058C6"/>
    <w:lvl w:ilvl="0" w:tplc="0419000F">
      <w:start w:val="5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6712777"/>
    <w:multiLevelType w:val="hybridMultilevel"/>
    <w:tmpl w:val="3314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157"/>
    <w:multiLevelType w:val="hybridMultilevel"/>
    <w:tmpl w:val="79620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369"/>
    <w:multiLevelType w:val="hybridMultilevel"/>
    <w:tmpl w:val="7A741DA4"/>
    <w:lvl w:ilvl="0" w:tplc="8F92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AC"/>
    <w:rsid w:val="000F6D48"/>
    <w:rsid w:val="001D6359"/>
    <w:rsid w:val="00251426"/>
    <w:rsid w:val="002D35B9"/>
    <w:rsid w:val="003F6426"/>
    <w:rsid w:val="004323B0"/>
    <w:rsid w:val="00484AD4"/>
    <w:rsid w:val="00493D60"/>
    <w:rsid w:val="004A257F"/>
    <w:rsid w:val="00603A77"/>
    <w:rsid w:val="00653675"/>
    <w:rsid w:val="00711881"/>
    <w:rsid w:val="00713A22"/>
    <w:rsid w:val="007210A7"/>
    <w:rsid w:val="007F3672"/>
    <w:rsid w:val="008D7879"/>
    <w:rsid w:val="008F01C2"/>
    <w:rsid w:val="009C26DA"/>
    <w:rsid w:val="00BA79A3"/>
    <w:rsid w:val="00C83D56"/>
    <w:rsid w:val="00CF780A"/>
    <w:rsid w:val="00D7688E"/>
    <w:rsid w:val="00E97934"/>
    <w:rsid w:val="00EE47AC"/>
    <w:rsid w:val="00EF3896"/>
    <w:rsid w:val="00F8421A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34"/>
  </w:style>
  <w:style w:type="paragraph" w:styleId="3">
    <w:name w:val="heading 3"/>
    <w:basedOn w:val="a"/>
    <w:next w:val="a"/>
    <w:link w:val="30"/>
    <w:semiHidden/>
    <w:unhideWhenUsed/>
    <w:qFormat/>
    <w:rsid w:val="002D35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4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1D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D35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D35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D35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6756-9592-4DA6-BC09-B40E768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2013-05-14T11:47:00Z</cp:lastPrinted>
  <dcterms:created xsi:type="dcterms:W3CDTF">2012-08-31T11:12:00Z</dcterms:created>
  <dcterms:modified xsi:type="dcterms:W3CDTF">2013-05-17T09:52:00Z</dcterms:modified>
</cp:coreProperties>
</file>