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422CF0" w:rsidTr="00C33EF5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B365E2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1AE4C2C7" wp14:editId="55110038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C6A2B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                                                                                            </w:t>
                  </w:r>
                  <w:proofErr w:type="spellStart"/>
                  <w:r w:rsidRPr="00B365E2">
                    <w:rPr>
                      <w:b/>
                      <w:bCs/>
                      <w:sz w:val="28"/>
                      <w:szCs w:val="28"/>
                    </w:rPr>
                    <w:t>Щекинский</w:t>
                  </w:r>
                  <w:proofErr w:type="spellEnd"/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 район Тульской области</w:t>
                  </w:r>
                </w:p>
              </w:tc>
            </w:tr>
            <w:tr w:rsidR="005C6A2B" w:rsidRPr="00B365E2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B365E2" w:rsidRDefault="005C6A2B" w:rsidP="00C33EF5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6A2B" w:rsidRPr="00B365E2" w:rsidRDefault="005C6A2B" w:rsidP="00C33EF5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B365E2" w:rsidRDefault="003E69F4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23 декабря </w:t>
                  </w:r>
                  <w:r w:rsidR="005C6A2B">
                    <w:rPr>
                      <w:sz w:val="28"/>
                      <w:szCs w:val="28"/>
                    </w:rPr>
                    <w:t>20</w:t>
                  </w:r>
                  <w:r w:rsidR="00E14B00">
                    <w:rPr>
                      <w:sz w:val="28"/>
                      <w:szCs w:val="28"/>
                    </w:rPr>
                    <w:t>20</w:t>
                  </w:r>
                  <w:r w:rsidR="005C6A2B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8F0A89" w:rsidRDefault="005C6A2B" w:rsidP="003E69F4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3E69F4">
                    <w:rPr>
                      <w:sz w:val="28"/>
                      <w:szCs w:val="28"/>
                    </w:rPr>
                    <w:t>12-237</w:t>
                  </w:r>
                </w:p>
              </w:tc>
            </w:tr>
          </w:tbl>
          <w:p w:rsidR="005C6A2B" w:rsidRDefault="005C6A2B" w:rsidP="00C33EF5"/>
        </w:tc>
      </w:tr>
    </w:tbl>
    <w:p w:rsidR="005C6A2B" w:rsidRPr="00422CF0" w:rsidRDefault="005C6A2B" w:rsidP="005C6A2B">
      <w:pPr>
        <w:ind w:firstLine="709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</w:t>
      </w:r>
      <w:bookmarkStart w:id="0" w:name="_GoBack"/>
      <w:bookmarkEnd w:id="0"/>
      <w:r w:rsidRPr="00422CF0">
        <w:rPr>
          <w:b/>
          <w:sz w:val="28"/>
          <w:szCs w:val="28"/>
        </w:rPr>
        <w:t>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>, д.1.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</w:p>
    <w:p w:rsidR="005C6A2B" w:rsidRDefault="005C6A2B" w:rsidP="005C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 образования</w:t>
      </w:r>
    </w:p>
    <w:p w:rsidR="005C6A2B" w:rsidRPr="001E5D2C" w:rsidRDefault="005C6A2B" w:rsidP="005C6A2B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>
        <w:rPr>
          <w:b/>
          <w:sz w:val="28"/>
          <w:szCs w:val="28"/>
        </w:rPr>
        <w:tab/>
        <w:t xml:space="preserve">        </w:t>
      </w:r>
      <w:proofErr w:type="spellStart"/>
      <w:r w:rsidR="00E40D45">
        <w:rPr>
          <w:b/>
          <w:sz w:val="28"/>
          <w:szCs w:val="28"/>
        </w:rPr>
        <w:t>Г.В.Андропов</w:t>
      </w:r>
      <w:proofErr w:type="spellEnd"/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4B00" w:rsidRDefault="00E14B00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CE4E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Н.А.Титова</w:t>
      </w:r>
      <w:proofErr w:type="spellEnd"/>
    </w:p>
    <w:p w:rsidR="005C6A2B" w:rsidRDefault="00E40D45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Н.Ю.Грекова</w:t>
      </w:r>
      <w:proofErr w:type="spellEnd"/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CE4E8F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CE4E8F">
        <w:rPr>
          <w:rFonts w:ascii="Times New Roman" w:hAnsi="Times New Roman" w:cs="Times New Roman"/>
          <w:sz w:val="22"/>
          <w:szCs w:val="22"/>
        </w:rPr>
        <w:t>узочкина</w:t>
      </w:r>
      <w:proofErr w:type="spellEnd"/>
      <w:r w:rsidR="00CE4E8F">
        <w:rPr>
          <w:rFonts w:ascii="Times New Roman" w:hAnsi="Times New Roman" w:cs="Times New Roman"/>
          <w:sz w:val="22"/>
          <w:szCs w:val="22"/>
        </w:rPr>
        <w:t xml:space="preserve"> О.А.</w:t>
      </w:r>
    </w:p>
    <w:p w:rsidR="005C6A2B" w:rsidRPr="00351EAD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74-5-41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16CBE">
        <w:rPr>
          <w:rFonts w:ascii="Times New Roman" w:hAnsi="Times New Roman" w:cs="Times New Roman"/>
          <w:sz w:val="24"/>
          <w:szCs w:val="24"/>
        </w:rPr>
        <w:t>20</w:t>
      </w:r>
      <w:r w:rsidR="00E14B00">
        <w:rPr>
          <w:rFonts w:ascii="Times New Roman" w:hAnsi="Times New Roman" w:cs="Times New Roman"/>
          <w:sz w:val="24"/>
          <w:szCs w:val="24"/>
        </w:rPr>
        <w:t>20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4.Заключение договоров на содержание и охрану муниципального имущества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7749,6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130,3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982,30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754,10</w:t>
            </w:r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4B0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649,10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402E9" w:rsidRPr="00422CF0" w:rsidRDefault="003402E9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606,50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бюджета муниципального образования город Советск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Щёкинского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района: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7749,6 тыс. руб.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 –742,6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2015 год – 819,6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–686,1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618,0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– 761,0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1130,3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982,30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754,10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02E9" w:rsidRPr="003402E9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649,10тыс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2023 год – 606,50тыс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r w:rsidR="005C6A2B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 w:rsidR="005C6A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="005C6A2B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 </w:t>
            </w:r>
            <w:r w:rsidR="00056F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208,3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 – 210,0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2015 год – 368,6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403,00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151,7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4B0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402E9" w:rsidRPr="00422CF0" w:rsidRDefault="003402E9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0,0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5511,3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 -532,6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2015 год –421,0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61,3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579,3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602,4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год – </w:t>
            </w:r>
            <w:r w:rsidR="003402E9">
              <w:rPr>
                <w:rFonts w:ascii="Times New Roman" w:hAnsi="Times New Roman" w:cs="Times New Roman"/>
                <w:i/>
                <w:sz w:val="28"/>
                <w:szCs w:val="28"/>
              </w:rPr>
              <w:t>549,10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402E9" w:rsidRDefault="003402E9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год – 556,5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Всего:30,0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год- 0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2015 год – 30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- 0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402E9" w:rsidRPr="00422CF0" w:rsidRDefault="003402E9" w:rsidP="003402E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0 </w:t>
            </w:r>
            <w:proofErr w:type="spell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402E9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C6A2B" w:rsidRPr="00422CF0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  <w:sectPr w:rsidR="005C6A2B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E2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</w:tcPr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E16CBE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4E20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C6A2B" w:rsidRPr="00B37BE9" w:rsidRDefault="004E20F7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20F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2208,3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4E20F7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20F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2208,3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 w:val="restart"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4E20F7" w:rsidRPr="00E16CBE" w:rsidRDefault="004E20F7" w:rsidP="004E20F7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300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55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E20F7" w:rsidRPr="00E16CBE" w:rsidRDefault="004E20F7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315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25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Default="004E20F7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4E20F7">
        <w:trPr>
          <w:trHeight w:val="276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Default="004E20F7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4E20F7">
        <w:trPr>
          <w:trHeight w:val="217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Default="004E20F7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 w:val="restart"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70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70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85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25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Pr="00E16CBE" w:rsidRDefault="004E20F7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C33EF5">
        <w:trPr>
          <w:trHeight w:val="240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E16CBE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4E20F7">
        <w:trPr>
          <w:trHeight w:val="328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Default="004E20F7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E16CBE" w:rsidTr="004E20F7">
        <w:trPr>
          <w:trHeight w:val="348"/>
        </w:trPr>
        <w:tc>
          <w:tcPr>
            <w:tcW w:w="4428" w:type="dxa"/>
            <w:vMerge/>
          </w:tcPr>
          <w:p w:rsidR="004E20F7" w:rsidRPr="00E16CBE" w:rsidRDefault="004E20F7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4E20F7" w:rsidRDefault="004E20F7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E20F7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E20F7" w:rsidRPr="00E16CBE" w:rsidRDefault="004E20F7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c>
          <w:tcPr>
            <w:tcW w:w="4428" w:type="dxa"/>
            <w:vMerge w:val="restart"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CE4E8F" w:rsidRPr="00E16CBE" w:rsidRDefault="00CE4E8F" w:rsidP="000F5A19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CE4E8F" w:rsidRPr="00E16CBE" w:rsidRDefault="00CE4E8F" w:rsidP="00056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5511,3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056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5511,3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360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E4E8F" w:rsidRPr="00E16CBE" w:rsidRDefault="00CE4E8F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CE4E8F" w:rsidRPr="00E16CBE" w:rsidRDefault="00CE4E8F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375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Pr="00E16CBE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360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602,4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Default="00CE4E8F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602,4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E4E8F">
        <w:trPr>
          <w:trHeight w:val="281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549,10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Default="00CE4E8F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549,10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4E20F7">
        <w:trPr>
          <w:trHeight w:val="348"/>
        </w:trPr>
        <w:tc>
          <w:tcPr>
            <w:tcW w:w="4428" w:type="dxa"/>
            <w:vMerge/>
          </w:tcPr>
          <w:p w:rsidR="00CE4E8F" w:rsidRPr="00E16CBE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Default="00CE4E8F" w:rsidP="00034B2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556,5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 w:val="restart"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CE4E8F" w:rsidRDefault="00CE4E8F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  <w:p w:rsidR="00CE4E8F" w:rsidRDefault="00CE4E8F" w:rsidP="005F1F89">
            <w:pPr>
              <w:rPr>
                <w:rFonts w:ascii="Arial" w:hAnsi="Arial" w:cs="Arial"/>
              </w:rPr>
            </w:pPr>
          </w:p>
          <w:p w:rsidR="00CE4E8F" w:rsidRPr="005F1F89" w:rsidRDefault="00CE4E8F" w:rsidP="005F1F89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</w:tcPr>
          <w:p w:rsidR="00CE4E8F" w:rsidRPr="00E16CBE" w:rsidRDefault="00CE4E8F" w:rsidP="000F5A19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33EF5">
        <w:trPr>
          <w:trHeight w:val="195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E4E8F">
        <w:trPr>
          <w:trHeight w:val="403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E4E8F" w:rsidRPr="00E16CBE" w:rsidTr="00CE4E8F">
        <w:trPr>
          <w:trHeight w:val="403"/>
        </w:trPr>
        <w:tc>
          <w:tcPr>
            <w:tcW w:w="4428" w:type="dxa"/>
            <w:vMerge/>
          </w:tcPr>
          <w:p w:rsidR="00CE4E8F" w:rsidRPr="003702A2" w:rsidRDefault="00CE4E8F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E4E8F" w:rsidRDefault="00CE4E8F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4E8F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E4E8F" w:rsidRPr="00E16CBE" w:rsidRDefault="00CE4E8F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C6A2B" w:rsidRPr="00E16CBE" w:rsidRDefault="005C6A2B" w:rsidP="005C6A2B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p w:rsidR="00863354" w:rsidRDefault="00863354"/>
    <w:sectPr w:rsidR="00863354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1"/>
    <w:rsid w:val="00001AD6"/>
    <w:rsid w:val="00004269"/>
    <w:rsid w:val="00004A0C"/>
    <w:rsid w:val="00005A56"/>
    <w:rsid w:val="00032F89"/>
    <w:rsid w:val="000370AE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02E9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E69F4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7641"/>
    <w:rsid w:val="00CD703D"/>
    <w:rsid w:val="00CE0493"/>
    <w:rsid w:val="00CE36A4"/>
    <w:rsid w:val="00CE4E8F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17</cp:revision>
  <cp:lastPrinted>2020-07-17T09:28:00Z</cp:lastPrinted>
  <dcterms:created xsi:type="dcterms:W3CDTF">2019-07-04T06:25:00Z</dcterms:created>
  <dcterms:modified xsi:type="dcterms:W3CDTF">2021-01-15T09:36:00Z</dcterms:modified>
</cp:coreProperties>
</file>