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EC2128" w:rsidTr="007F3DD4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EC2128" w:rsidTr="007F3DD4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3021E12D" wp14:editId="1EC83ABD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Российская Федерация                                                                                            </w:t>
                  </w:r>
                  <w:proofErr w:type="spellStart"/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Щекинский</w:t>
                  </w:r>
                  <w:proofErr w:type="spellEnd"/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район Тульской области</w:t>
                  </w:r>
                </w:p>
              </w:tc>
            </w:tr>
            <w:tr w:rsidR="005C6A2B" w:rsidRPr="00EC2128" w:rsidTr="005D5FC2">
              <w:trPr>
                <w:trHeight w:val="639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5D5FC2"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5C6A2B" w:rsidRPr="00EC2128" w:rsidTr="005D5FC2">
              <w:trPr>
                <w:trHeight w:val="80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EC2128" w:rsidTr="005D5FC2">
              <w:trPr>
                <w:trHeight w:val="397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C6A2B" w:rsidRPr="00EC2128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EC2128" w:rsidTr="007F3DD4">
              <w:trPr>
                <w:trHeight w:val="362"/>
              </w:trPr>
              <w:tc>
                <w:tcPr>
                  <w:tcW w:w="4747" w:type="dxa"/>
                </w:tcPr>
                <w:p w:rsidR="005C6A2B" w:rsidRPr="00EC2128" w:rsidRDefault="00201328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09 января 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D957DB" w:rsidRPr="00EC2128">
                    <w:rPr>
                      <w:rFonts w:ascii="PT Astra Serif" w:hAnsi="PT Astra Serif"/>
                      <w:sz w:val="28"/>
                      <w:szCs w:val="28"/>
                    </w:rPr>
                    <w:t>23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C2128" w:rsidRDefault="005C6A2B" w:rsidP="00201328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A306D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201328">
                    <w:rPr>
                      <w:rFonts w:ascii="PT Astra Serif" w:hAnsi="PT Astra Serif"/>
                      <w:sz w:val="28"/>
                      <w:szCs w:val="28"/>
                    </w:rPr>
                    <w:t>1-3</w:t>
                  </w:r>
                  <w:r w:rsidR="001C21D7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5C6A2B" w:rsidRPr="00EC2128" w:rsidRDefault="005C6A2B" w:rsidP="007F3D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C6A2B" w:rsidRPr="00EC2128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5D5FC2">
      <w:pPr>
        <w:ind w:firstLine="709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 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proofErr w:type="gramStart"/>
      <w:r w:rsidRPr="00EC2128">
        <w:rPr>
          <w:rFonts w:ascii="PT Astra Serif" w:hAnsi="PT Astra Serif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C2128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EC2128">
        <w:rPr>
          <w:rFonts w:ascii="PT Astra Serif" w:hAnsi="PT Astra Serif"/>
          <w:b/>
          <w:sz w:val="28"/>
          <w:szCs w:val="28"/>
        </w:rPr>
        <w:t>ПОСТАНОВЛЯЕТ</w:t>
      </w:r>
      <w:r w:rsidRPr="00EC2128">
        <w:rPr>
          <w:rFonts w:ascii="PT Astra Serif" w:hAnsi="PT Astra Serif"/>
          <w:sz w:val="28"/>
          <w:szCs w:val="28"/>
        </w:rPr>
        <w:t>: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1. Внести изменения в постановление № 11-132 от 07.11.2013 года «Об утверждении муниципальной программы муниципального образования город </w:t>
      </w:r>
      <w:r w:rsidRPr="00EC2128">
        <w:rPr>
          <w:rFonts w:ascii="PT Astra Serif" w:hAnsi="PT Astra Serif"/>
          <w:sz w:val="28"/>
          <w:szCs w:val="28"/>
        </w:rPr>
        <w:lastRenderedPageBreak/>
        <w:t>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EC2128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EC2128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EC2128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EC2128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EC2128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EC2128">
        <w:rPr>
          <w:rFonts w:ascii="PT Astra Serif" w:hAnsi="PT Astra Serif" w:cs="Times New Roman"/>
          <w:sz w:val="28"/>
          <w:szCs w:val="28"/>
        </w:rPr>
        <w:t>, д.1.</w:t>
      </w:r>
    </w:p>
    <w:p w:rsidR="005C6A2B" w:rsidRPr="00EC2128" w:rsidRDefault="005C6A2B" w:rsidP="00AD5EF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128" w:rsidRDefault="00EC477D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Заместитель главы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BF6576" w:rsidRPr="00EC2128" w:rsidRDefault="00EC2128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</w:t>
      </w:r>
      <w:proofErr w:type="spellStart"/>
      <w:r>
        <w:rPr>
          <w:rFonts w:ascii="PT Astra Serif" w:hAnsi="PT Astra Serif"/>
          <w:b/>
          <w:sz w:val="28"/>
          <w:szCs w:val="28"/>
        </w:rPr>
        <w:t>г</w:t>
      </w:r>
      <w:proofErr w:type="gramStart"/>
      <w:r>
        <w:rPr>
          <w:rFonts w:ascii="PT Astra Serif" w:hAnsi="PT Astra Serif"/>
          <w:b/>
          <w:sz w:val="28"/>
          <w:szCs w:val="28"/>
        </w:rPr>
        <w:t>.С</w:t>
      </w:r>
      <w:proofErr w:type="gramEnd"/>
      <w:r>
        <w:rPr>
          <w:rFonts w:ascii="PT Astra Serif" w:hAnsi="PT Astra Serif"/>
          <w:b/>
          <w:sz w:val="28"/>
          <w:szCs w:val="28"/>
        </w:rPr>
        <w:t>оветск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D957DB" w:rsidRPr="00EC2128">
        <w:rPr>
          <w:rFonts w:ascii="PT Astra Serif" w:hAnsi="PT Astra Serif"/>
          <w:b/>
          <w:sz w:val="28"/>
          <w:szCs w:val="28"/>
        </w:rPr>
        <w:t xml:space="preserve">        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    </w:t>
      </w:r>
      <w:r w:rsidR="00D957DB" w:rsidRPr="00EC2128">
        <w:rPr>
          <w:rFonts w:ascii="PT Astra Serif" w:hAnsi="PT Astra Serif"/>
          <w:b/>
          <w:sz w:val="28"/>
          <w:szCs w:val="28"/>
        </w:rPr>
        <w:t>И.В. Миронов</w:t>
      </w: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AD5EF4" w:rsidRDefault="00AD5EF4" w:rsidP="00EC2128">
      <w:pPr>
        <w:spacing w:line="360" w:lineRule="auto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201328" w:rsidRDefault="00201328">
      <w:pPr>
        <w:spacing w:after="200" w:line="276" w:lineRule="auto"/>
      </w:pPr>
      <w:r>
        <w:br w:type="page"/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328">
        <w:rPr>
          <w:rFonts w:ascii="Times New Roman" w:hAnsi="Times New Roman" w:cs="Times New Roman"/>
          <w:sz w:val="24"/>
          <w:szCs w:val="24"/>
        </w:rPr>
        <w:t>09 января 2</w:t>
      </w:r>
      <w:r w:rsidRPr="00E16CBE">
        <w:rPr>
          <w:rFonts w:ascii="Times New Roman" w:hAnsi="Times New Roman" w:cs="Times New Roman"/>
          <w:sz w:val="24"/>
          <w:szCs w:val="24"/>
        </w:rPr>
        <w:t>0</w:t>
      </w:r>
      <w:r w:rsidR="00C00E1E">
        <w:rPr>
          <w:rFonts w:ascii="Times New Roman" w:hAnsi="Times New Roman" w:cs="Times New Roman"/>
          <w:sz w:val="24"/>
          <w:szCs w:val="24"/>
        </w:rPr>
        <w:t>23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 w:rsidR="00201328">
        <w:rPr>
          <w:rFonts w:ascii="Times New Roman" w:hAnsi="Times New Roman" w:cs="Times New Roman"/>
          <w:sz w:val="24"/>
          <w:szCs w:val="24"/>
        </w:rPr>
        <w:t xml:space="preserve"> 1-3</w:t>
      </w:r>
      <w:bookmarkStart w:id="0" w:name="_GoBack"/>
      <w:bookmarkEnd w:id="0"/>
      <w:r w:rsidR="00504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AD5EF4" w:rsidRDefault="005C6A2B" w:rsidP="005C6A2B">
      <w:pPr>
        <w:pStyle w:val="ConsPlusNormal"/>
        <w:ind w:firstLine="709"/>
        <w:jc w:val="center"/>
        <w:rPr>
          <w:b/>
          <w:sz w:val="24"/>
          <w:szCs w:val="24"/>
        </w:rPr>
      </w:pPr>
      <w:r w:rsidRPr="00AD5EF4">
        <w:rPr>
          <w:b/>
          <w:sz w:val="24"/>
          <w:szCs w:val="24"/>
        </w:rPr>
        <w:t>ПАСПОРТ</w:t>
      </w:r>
    </w:p>
    <w:p w:rsidR="005C6A2B" w:rsidRPr="00AD5EF4" w:rsidRDefault="005C6A2B" w:rsidP="005C6A2B">
      <w:pPr>
        <w:pStyle w:val="ConsPlusNormal"/>
        <w:ind w:firstLine="709"/>
        <w:jc w:val="center"/>
        <w:rPr>
          <w:b/>
          <w:sz w:val="24"/>
          <w:szCs w:val="24"/>
        </w:rPr>
      </w:pPr>
      <w:r w:rsidRPr="00AD5EF4">
        <w:rPr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5C6A2B" w:rsidRPr="00EC2128" w:rsidRDefault="005C6A2B" w:rsidP="00EC2128">
      <w:pPr>
        <w:pStyle w:val="ConsPlusNormal"/>
        <w:ind w:firstLine="709"/>
        <w:jc w:val="center"/>
        <w:rPr>
          <w:i/>
          <w:sz w:val="24"/>
          <w:szCs w:val="24"/>
        </w:rPr>
      </w:pPr>
      <w:r w:rsidRPr="00AD5EF4">
        <w:rPr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345"/>
      </w:tblGrid>
      <w:tr w:rsidR="005C6A2B" w:rsidRPr="00AD5EF4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AD5EF4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AD5EF4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3402E9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2014-2</w:t>
            </w:r>
            <w:r w:rsidRPr="00AD5EF4">
              <w:rPr>
                <w:i/>
                <w:sz w:val="24"/>
                <w:szCs w:val="24"/>
                <w:lang w:val="en-US"/>
              </w:rPr>
              <w:t>02</w:t>
            </w:r>
            <w:r w:rsidR="00D957DB">
              <w:rPr>
                <w:i/>
                <w:sz w:val="24"/>
                <w:szCs w:val="24"/>
              </w:rPr>
              <w:t>5</w:t>
            </w:r>
            <w:r w:rsidRPr="00AD5EF4"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proofErr w:type="gramStart"/>
            <w:r w:rsidRPr="00AD5EF4">
              <w:rPr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AD5EF4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5C6A2B" w:rsidRPr="00AD5EF4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5C6A2B" w:rsidRPr="00AD5EF4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AD5EF4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AD5EF4">
              <w:rPr>
                <w:i/>
                <w:sz w:val="24"/>
                <w:szCs w:val="24"/>
              </w:rPr>
              <w:t xml:space="preserve">: </w:t>
            </w:r>
            <w:r w:rsidR="00196225" w:rsidRPr="00AD5EF4">
              <w:rPr>
                <w:i/>
                <w:sz w:val="24"/>
                <w:szCs w:val="24"/>
              </w:rPr>
              <w:t>7</w:t>
            </w:r>
            <w:r w:rsidR="00D0663C">
              <w:rPr>
                <w:i/>
                <w:sz w:val="24"/>
                <w:szCs w:val="24"/>
              </w:rPr>
              <w:t>461,4</w:t>
            </w:r>
            <w:r w:rsidR="00196225" w:rsidRPr="00AD5EF4">
              <w:rPr>
                <w:i/>
                <w:sz w:val="24"/>
                <w:szCs w:val="24"/>
              </w:rPr>
              <w:t xml:space="preserve">0 </w:t>
            </w:r>
            <w:r w:rsidRPr="00AD5EF4">
              <w:rPr>
                <w:i/>
                <w:sz w:val="24"/>
                <w:szCs w:val="24"/>
              </w:rPr>
              <w:t>тыс. руб.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в том числе по годам: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2014 год –742,6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2015 год – 819,6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2018год – 761,0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2019 год – 1</w:t>
            </w:r>
            <w:r w:rsidR="000D3AD6" w:rsidRPr="00AD5EF4">
              <w:rPr>
                <w:i/>
                <w:sz w:val="24"/>
                <w:szCs w:val="24"/>
              </w:rPr>
              <w:t>130,3</w:t>
            </w:r>
            <w:r w:rsidRPr="00AD5EF4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2020 год – </w:t>
            </w:r>
            <w:r w:rsidR="003402E9" w:rsidRPr="00AD5EF4">
              <w:rPr>
                <w:i/>
                <w:sz w:val="24"/>
                <w:szCs w:val="24"/>
              </w:rPr>
              <w:t>982,30</w:t>
            </w:r>
            <w:r w:rsidRPr="00AD5EF4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E14B00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2021 год – </w:t>
            </w:r>
            <w:r w:rsidR="007F3DD4" w:rsidRPr="00AD5EF4">
              <w:rPr>
                <w:i/>
                <w:sz w:val="24"/>
                <w:szCs w:val="24"/>
              </w:rPr>
              <w:t>739</w:t>
            </w:r>
            <w:r w:rsidR="00A306DB" w:rsidRPr="00AD5EF4">
              <w:rPr>
                <w:i/>
                <w:sz w:val="24"/>
                <w:szCs w:val="24"/>
              </w:rPr>
              <w:t>,10</w:t>
            </w:r>
            <w:r w:rsidR="005C6A2B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5C6A2B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5C6A2B" w:rsidRPr="00AD5EF4">
              <w:rPr>
                <w:i/>
                <w:sz w:val="24"/>
                <w:szCs w:val="24"/>
              </w:rPr>
              <w:t>уб.</w:t>
            </w:r>
          </w:p>
          <w:p w:rsidR="00E14B00" w:rsidRPr="00AD5EF4" w:rsidRDefault="00E14B00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2022 год – </w:t>
            </w:r>
            <w:r w:rsidR="00672C3F" w:rsidRPr="00AD5EF4">
              <w:rPr>
                <w:i/>
                <w:sz w:val="24"/>
                <w:szCs w:val="24"/>
              </w:rPr>
              <w:t>465</w:t>
            </w:r>
            <w:r w:rsidR="00892EAE" w:rsidRPr="00AD5EF4">
              <w:rPr>
                <w:i/>
                <w:sz w:val="24"/>
                <w:szCs w:val="24"/>
              </w:rPr>
              <w:t>,</w:t>
            </w:r>
            <w:r w:rsidR="00672C3F" w:rsidRPr="00AD5EF4">
              <w:rPr>
                <w:i/>
                <w:sz w:val="24"/>
                <w:szCs w:val="24"/>
              </w:rPr>
              <w:t>7</w:t>
            </w:r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3402E9" w:rsidRPr="00AD5EF4" w:rsidRDefault="003402E9" w:rsidP="007F3DD4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2023 год – </w:t>
            </w:r>
            <w:r w:rsidR="005E6938">
              <w:rPr>
                <w:i/>
                <w:color w:val="000000" w:themeColor="text1"/>
                <w:sz w:val="24"/>
                <w:szCs w:val="24"/>
              </w:rPr>
              <w:t>287,2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</w:t>
            </w:r>
            <w:r w:rsidR="00E65460" w:rsidRPr="00AD5EF4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E65460" w:rsidRDefault="00E65460" w:rsidP="007F3DD4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D957DB">
              <w:rPr>
                <w:i/>
                <w:color w:val="000000" w:themeColor="text1"/>
                <w:sz w:val="24"/>
                <w:szCs w:val="24"/>
              </w:rPr>
              <w:t>24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5E6938">
              <w:rPr>
                <w:i/>
                <w:color w:val="000000" w:themeColor="text1"/>
                <w:sz w:val="24"/>
                <w:szCs w:val="24"/>
              </w:rPr>
              <w:t>180,1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уб.</w:t>
            </w:r>
          </w:p>
          <w:p w:rsidR="00D957DB" w:rsidRPr="00AD5EF4" w:rsidRDefault="00D957DB" w:rsidP="007F3DD4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i/>
                <w:color w:val="000000" w:themeColor="text1"/>
                <w:sz w:val="24"/>
                <w:szCs w:val="24"/>
              </w:rPr>
              <w:t>25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D0663C">
              <w:rPr>
                <w:i/>
                <w:color w:val="000000" w:themeColor="text1"/>
                <w:sz w:val="24"/>
                <w:szCs w:val="24"/>
              </w:rPr>
              <w:t>49,4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из них: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AD5EF4">
              <w:rPr>
                <w:i/>
                <w:sz w:val="24"/>
                <w:szCs w:val="24"/>
              </w:rPr>
              <w:t>: 7</w:t>
            </w:r>
            <w:r w:rsidR="00D0663C">
              <w:rPr>
                <w:i/>
                <w:sz w:val="24"/>
                <w:szCs w:val="24"/>
              </w:rPr>
              <w:t>461,4</w:t>
            </w:r>
            <w:r w:rsidRPr="00AD5EF4">
              <w:rPr>
                <w:i/>
                <w:sz w:val="24"/>
                <w:szCs w:val="24"/>
              </w:rPr>
              <w:t>0 тыс. руб.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в том числе по годам: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2014 год –742,6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2015 год – 819,6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2016 год –686,1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2017 год – 618,0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2018год – 761,0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2019 год – 1130,3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2020 год – 982,30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2021 год – 739,10тыс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E6938" w:rsidRPr="00AD5EF4" w:rsidRDefault="005E6938" w:rsidP="005E6938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2022 год – 465,7тыс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E6938" w:rsidRPr="00AD5EF4" w:rsidRDefault="005E6938" w:rsidP="005E6938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2023 год – </w:t>
            </w:r>
            <w:r>
              <w:rPr>
                <w:i/>
                <w:color w:val="000000" w:themeColor="text1"/>
                <w:sz w:val="24"/>
                <w:szCs w:val="24"/>
              </w:rPr>
              <w:t>287,2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Default="005E6938" w:rsidP="005E6938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i/>
                <w:color w:val="000000" w:themeColor="text1"/>
                <w:sz w:val="24"/>
                <w:szCs w:val="24"/>
              </w:rPr>
              <w:t>24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i/>
                <w:color w:val="000000" w:themeColor="text1"/>
                <w:sz w:val="24"/>
                <w:szCs w:val="24"/>
              </w:rPr>
              <w:t>180,1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Pr="00AD5EF4" w:rsidRDefault="005E6938" w:rsidP="005E6938">
            <w:pPr>
              <w:pStyle w:val="ConsPlusCell"/>
              <w:rPr>
                <w:i/>
                <w:color w:val="000000" w:themeColor="text1"/>
                <w:sz w:val="24"/>
                <w:szCs w:val="24"/>
              </w:rPr>
            </w:pPr>
            <w:r w:rsidRPr="00AD5EF4">
              <w:rPr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i/>
                <w:color w:val="000000" w:themeColor="text1"/>
                <w:sz w:val="24"/>
                <w:szCs w:val="24"/>
              </w:rPr>
              <w:t>25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D0663C">
              <w:rPr>
                <w:i/>
                <w:color w:val="000000" w:themeColor="text1"/>
                <w:sz w:val="24"/>
                <w:szCs w:val="24"/>
              </w:rPr>
              <w:t>49,4</w:t>
            </w:r>
            <w:r w:rsidRPr="00AD5EF4">
              <w:rPr>
                <w:i/>
                <w:color w:val="000000" w:themeColor="text1"/>
                <w:sz w:val="24"/>
                <w:szCs w:val="24"/>
              </w:rPr>
              <w:t>0тыс</w:t>
            </w:r>
            <w:proofErr w:type="gramStart"/>
            <w:r w:rsidRPr="00AD5EF4">
              <w:rPr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AD5EF4" w:rsidRDefault="005C6A2B" w:rsidP="003402E9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 xml:space="preserve">Подпрограмма 1 «Оценка недвижимости, признание </w:t>
            </w:r>
            <w:r w:rsidRPr="00AD5EF4">
              <w:rPr>
                <w:i/>
                <w:sz w:val="24"/>
                <w:szCs w:val="24"/>
                <w:u w:val="single"/>
              </w:rPr>
              <w:lastRenderedPageBreak/>
              <w:t xml:space="preserve">прав и регулирование по муниципальной собственности» 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 xml:space="preserve">Всего:  </w:t>
            </w:r>
            <w:r w:rsidR="004375C6">
              <w:rPr>
                <w:i/>
                <w:sz w:val="24"/>
                <w:szCs w:val="24"/>
                <w:u w:val="single"/>
              </w:rPr>
              <w:t>2684,1</w:t>
            </w:r>
            <w:r w:rsidR="00A306DB" w:rsidRPr="00AD5EF4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5EF4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  <w:u w:val="single"/>
              </w:rPr>
              <w:t>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2014 год – 210,0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2015 год – 368,6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2016 год – 204,0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2017 год – 250,0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2018 год – 202,0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2019 год – 2</w:t>
            </w:r>
            <w:r w:rsidR="000D3AD6" w:rsidRPr="00AD5EF4">
              <w:rPr>
                <w:i/>
                <w:sz w:val="24"/>
                <w:szCs w:val="24"/>
              </w:rPr>
              <w:t>69</w:t>
            </w:r>
            <w:r w:rsidRPr="00AD5EF4">
              <w:rPr>
                <w:i/>
                <w:sz w:val="24"/>
                <w:szCs w:val="24"/>
              </w:rPr>
              <w:t xml:space="preserve">,0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2020 год – </w:t>
            </w:r>
            <w:r w:rsidR="003402E9" w:rsidRPr="00AD5EF4">
              <w:rPr>
                <w:i/>
                <w:sz w:val="24"/>
                <w:szCs w:val="24"/>
              </w:rPr>
              <w:t>403,00</w:t>
            </w:r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2021 год – </w:t>
            </w:r>
            <w:r w:rsidR="003F75CC" w:rsidRPr="00AD5EF4">
              <w:rPr>
                <w:i/>
                <w:sz w:val="24"/>
                <w:szCs w:val="24"/>
              </w:rPr>
              <w:t>219</w:t>
            </w:r>
            <w:r w:rsidR="003402E9" w:rsidRPr="00AD5EF4">
              <w:rPr>
                <w:i/>
                <w:sz w:val="24"/>
                <w:szCs w:val="24"/>
              </w:rPr>
              <w:t>,7</w:t>
            </w:r>
            <w:r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E14B00" w:rsidRPr="00AD5EF4" w:rsidRDefault="00E14B00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202</w:t>
            </w:r>
            <w:r w:rsidR="003402E9" w:rsidRPr="00AD5EF4">
              <w:rPr>
                <w:i/>
                <w:sz w:val="24"/>
                <w:szCs w:val="24"/>
              </w:rPr>
              <w:t>2</w:t>
            </w:r>
            <w:r w:rsidRPr="00AD5EF4">
              <w:rPr>
                <w:i/>
                <w:sz w:val="24"/>
                <w:szCs w:val="24"/>
              </w:rPr>
              <w:t xml:space="preserve"> год – </w:t>
            </w:r>
            <w:r w:rsidR="00E65460" w:rsidRPr="00AD5EF4">
              <w:rPr>
                <w:i/>
                <w:sz w:val="24"/>
                <w:szCs w:val="24"/>
              </w:rPr>
              <w:t>2</w:t>
            </w:r>
            <w:r w:rsidR="00892EAE" w:rsidRPr="00AD5EF4">
              <w:rPr>
                <w:i/>
                <w:sz w:val="24"/>
                <w:szCs w:val="24"/>
              </w:rPr>
              <w:t>92</w:t>
            </w:r>
            <w:r w:rsidRPr="00AD5EF4">
              <w:rPr>
                <w:i/>
                <w:sz w:val="24"/>
                <w:szCs w:val="24"/>
              </w:rPr>
              <w:t xml:space="preserve">,0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402E9" w:rsidRPr="00AD5EF4" w:rsidRDefault="003402E9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2023 год – </w:t>
            </w:r>
            <w:r w:rsidR="005E6938">
              <w:rPr>
                <w:i/>
                <w:sz w:val="24"/>
                <w:szCs w:val="24"/>
              </w:rPr>
              <w:t>10</w:t>
            </w:r>
            <w:r w:rsidRPr="00AD5EF4">
              <w:rPr>
                <w:i/>
                <w:sz w:val="24"/>
                <w:szCs w:val="24"/>
              </w:rPr>
              <w:t xml:space="preserve">0,0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="00E65460" w:rsidRPr="00AD5EF4">
              <w:rPr>
                <w:i/>
                <w:sz w:val="24"/>
                <w:szCs w:val="24"/>
              </w:rPr>
              <w:t>.</w:t>
            </w:r>
          </w:p>
          <w:p w:rsidR="00E65460" w:rsidRDefault="005E6938" w:rsidP="007F3D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 год – 148,9</w:t>
            </w:r>
            <w:r w:rsidR="00E65460"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65460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E65460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E65460"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="00E65460" w:rsidRPr="00AD5EF4">
              <w:rPr>
                <w:i/>
                <w:sz w:val="24"/>
                <w:szCs w:val="24"/>
              </w:rPr>
              <w:t>.</w:t>
            </w:r>
          </w:p>
          <w:p w:rsidR="005E6938" w:rsidRPr="00AD5EF4" w:rsidRDefault="00593BF1" w:rsidP="007F3D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 год – 16</w:t>
            </w:r>
            <w:r w:rsidR="004375C6">
              <w:rPr>
                <w:i/>
                <w:sz w:val="24"/>
                <w:szCs w:val="24"/>
              </w:rPr>
              <w:t>,</w:t>
            </w:r>
            <w:r w:rsidR="005E6938">
              <w:rPr>
                <w:i/>
                <w:sz w:val="24"/>
                <w:szCs w:val="24"/>
              </w:rPr>
              <w:t>9</w:t>
            </w:r>
            <w:r w:rsidR="005E6938"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E6938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5E6938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5E6938"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 xml:space="preserve">Всего: </w:t>
            </w:r>
            <w:r w:rsidR="00196225" w:rsidRPr="00AD5EF4">
              <w:rPr>
                <w:i/>
                <w:sz w:val="24"/>
                <w:szCs w:val="24"/>
                <w:u w:val="single"/>
              </w:rPr>
              <w:t>4</w:t>
            </w:r>
            <w:r w:rsidR="00593BF1">
              <w:rPr>
                <w:i/>
                <w:sz w:val="24"/>
                <w:szCs w:val="24"/>
                <w:u w:val="single"/>
              </w:rPr>
              <w:t>747,3</w:t>
            </w:r>
            <w:r w:rsidR="00196225" w:rsidRPr="00AD5EF4">
              <w:rPr>
                <w:i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AD5EF4">
              <w:rPr>
                <w:i/>
                <w:sz w:val="24"/>
                <w:szCs w:val="24"/>
                <w:u w:val="single"/>
              </w:rPr>
              <w:t>тыс.руб</w:t>
            </w:r>
            <w:proofErr w:type="spellEnd"/>
            <w:r w:rsidRPr="00AD5EF4">
              <w:rPr>
                <w:i/>
                <w:sz w:val="24"/>
                <w:szCs w:val="24"/>
                <w:u w:val="single"/>
              </w:rPr>
              <w:t>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2014 год -532,6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2015 год –421,0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2016 год –482,1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2017 год –368,0 тыс. руб.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2018 год – 559,0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2019 год – </w:t>
            </w:r>
            <w:r w:rsidR="00916D6B" w:rsidRPr="00AD5EF4">
              <w:rPr>
                <w:i/>
                <w:sz w:val="24"/>
                <w:szCs w:val="24"/>
              </w:rPr>
              <w:t>8</w:t>
            </w:r>
            <w:r w:rsidR="000D3AD6" w:rsidRPr="00AD5EF4">
              <w:rPr>
                <w:i/>
                <w:sz w:val="24"/>
                <w:szCs w:val="24"/>
              </w:rPr>
              <w:t>61,3</w:t>
            </w:r>
            <w:r w:rsidR="00E65460" w:rsidRPr="00AD5EF4">
              <w:rPr>
                <w:i/>
                <w:sz w:val="24"/>
                <w:szCs w:val="24"/>
              </w:rPr>
              <w:t xml:space="preserve">0 </w:t>
            </w:r>
            <w:r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2020 год – </w:t>
            </w:r>
            <w:r w:rsidR="003402E9" w:rsidRPr="00AD5EF4">
              <w:rPr>
                <w:i/>
                <w:sz w:val="24"/>
                <w:szCs w:val="24"/>
              </w:rPr>
              <w:t>579,3</w:t>
            </w:r>
            <w:r w:rsidR="00E65460" w:rsidRPr="00AD5EF4">
              <w:rPr>
                <w:i/>
                <w:sz w:val="24"/>
                <w:szCs w:val="24"/>
              </w:rPr>
              <w:t xml:space="preserve">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2021 год – </w:t>
            </w:r>
            <w:r w:rsidR="003F75CC" w:rsidRPr="00AD5EF4">
              <w:rPr>
                <w:i/>
                <w:sz w:val="24"/>
                <w:szCs w:val="24"/>
              </w:rPr>
              <w:t>519,</w:t>
            </w:r>
            <w:r w:rsidR="003402E9" w:rsidRPr="00AD5EF4">
              <w:rPr>
                <w:i/>
                <w:sz w:val="24"/>
                <w:szCs w:val="24"/>
              </w:rPr>
              <w:t>4</w:t>
            </w:r>
            <w:r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A70ED5" w:rsidRDefault="00A70ED5" w:rsidP="00E14B00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 - 173,7</w:t>
            </w:r>
            <w:r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E14B00" w:rsidRPr="00AD5EF4" w:rsidRDefault="00A70ED5" w:rsidP="00E14B00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E14B00" w:rsidRPr="00AD5EF4">
              <w:rPr>
                <w:i/>
                <w:sz w:val="24"/>
                <w:szCs w:val="24"/>
              </w:rPr>
              <w:t xml:space="preserve"> год – </w:t>
            </w:r>
            <w:r w:rsidR="00044301" w:rsidRPr="00AD5EF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87,20</w:t>
            </w:r>
            <w:r w:rsidR="00E14B00"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14B00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E14B00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E14B00"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402E9" w:rsidRPr="00AD5EF4" w:rsidRDefault="00A70ED5" w:rsidP="00E14B00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  <w:r w:rsidR="003402E9" w:rsidRPr="00AD5EF4">
              <w:rPr>
                <w:i/>
                <w:sz w:val="24"/>
                <w:szCs w:val="24"/>
              </w:rPr>
              <w:t xml:space="preserve"> год – </w:t>
            </w:r>
            <w:r w:rsidR="00346ED3">
              <w:rPr>
                <w:i/>
                <w:sz w:val="24"/>
                <w:szCs w:val="24"/>
              </w:rPr>
              <w:t>31,20</w:t>
            </w:r>
            <w:r w:rsidR="003402E9" w:rsidRPr="00AD5E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402E9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3402E9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3402E9"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="00E65460" w:rsidRPr="00AD5EF4">
              <w:rPr>
                <w:i/>
                <w:sz w:val="24"/>
                <w:szCs w:val="24"/>
              </w:rPr>
              <w:t>.</w:t>
            </w:r>
          </w:p>
          <w:p w:rsidR="00E65460" w:rsidRDefault="00A70ED5" w:rsidP="00E14B00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  <w:r w:rsidR="00E65460" w:rsidRPr="00AD5EF4">
              <w:rPr>
                <w:i/>
                <w:sz w:val="24"/>
                <w:szCs w:val="24"/>
              </w:rPr>
              <w:t xml:space="preserve"> год – </w:t>
            </w:r>
            <w:r w:rsidR="00346ED3">
              <w:rPr>
                <w:i/>
                <w:sz w:val="24"/>
                <w:szCs w:val="24"/>
              </w:rPr>
              <w:t>32</w:t>
            </w:r>
            <w:r w:rsidR="00E65460" w:rsidRPr="00AD5EF4">
              <w:rPr>
                <w:i/>
                <w:sz w:val="24"/>
                <w:szCs w:val="24"/>
              </w:rPr>
              <w:t>,</w:t>
            </w:r>
            <w:r w:rsidR="00346ED3">
              <w:rPr>
                <w:i/>
                <w:sz w:val="24"/>
                <w:szCs w:val="24"/>
              </w:rPr>
              <w:t>5</w:t>
            </w:r>
            <w:r w:rsidR="00E65460" w:rsidRPr="00AD5EF4">
              <w:rPr>
                <w:i/>
                <w:sz w:val="24"/>
                <w:szCs w:val="24"/>
              </w:rPr>
              <w:t xml:space="preserve">0 </w:t>
            </w:r>
            <w:proofErr w:type="spellStart"/>
            <w:r w:rsidR="00E65460"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="00E65460" w:rsidRPr="00AD5EF4">
              <w:rPr>
                <w:i/>
                <w:sz w:val="24"/>
                <w:szCs w:val="24"/>
              </w:rPr>
              <w:t>.р</w:t>
            </w:r>
            <w:proofErr w:type="gramEnd"/>
            <w:r w:rsidR="00E65460"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="00E65460" w:rsidRPr="00AD5EF4">
              <w:rPr>
                <w:i/>
                <w:sz w:val="24"/>
                <w:szCs w:val="24"/>
              </w:rPr>
              <w:t>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proofErr w:type="gramStart"/>
            <w:r w:rsidRPr="00AD5EF4">
              <w:rPr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Всего:30,0 тыс</w:t>
            </w:r>
            <w:proofErr w:type="gramStart"/>
            <w:r w:rsidRPr="00AD5EF4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  <w:u w:val="single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AD5EF4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2014 год- 0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2015 год – 30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2016 год - 0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2017 год –0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2018 год –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2019 год –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2020 год –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5C6A2B" w:rsidRPr="00AD5EF4" w:rsidRDefault="005C6A2B" w:rsidP="007F3DD4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>2021 год – 0 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уб.</w:t>
            </w:r>
          </w:p>
          <w:p w:rsidR="00E14B00" w:rsidRPr="00AD5EF4" w:rsidRDefault="00E14B00" w:rsidP="00E14B00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2022 год – 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402E9" w:rsidRPr="00AD5EF4" w:rsidRDefault="003402E9" w:rsidP="003402E9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2023 год – 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="00301A2F" w:rsidRPr="00AD5EF4">
              <w:rPr>
                <w:i/>
                <w:sz w:val="24"/>
                <w:szCs w:val="24"/>
              </w:rPr>
              <w:t>.</w:t>
            </w:r>
          </w:p>
          <w:p w:rsidR="00301A2F" w:rsidRDefault="00301A2F" w:rsidP="003402E9">
            <w:pPr>
              <w:pStyle w:val="ConsPlusCell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t xml:space="preserve">2024 год – 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  <w:p w:rsidR="00EC2128" w:rsidRPr="00AD5EF4" w:rsidRDefault="00EC2128" w:rsidP="003402E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  <w:r w:rsidRPr="00AD5EF4">
              <w:rPr>
                <w:i/>
                <w:sz w:val="24"/>
                <w:szCs w:val="24"/>
              </w:rPr>
              <w:t xml:space="preserve"> год – 0 </w:t>
            </w:r>
            <w:proofErr w:type="spellStart"/>
            <w:r w:rsidRPr="00AD5EF4">
              <w:rPr>
                <w:i/>
                <w:sz w:val="24"/>
                <w:szCs w:val="24"/>
              </w:rPr>
              <w:t>тыс</w:t>
            </w:r>
            <w:proofErr w:type="gramStart"/>
            <w:r w:rsidRPr="00AD5EF4">
              <w:rPr>
                <w:i/>
                <w:sz w:val="24"/>
                <w:szCs w:val="24"/>
              </w:rPr>
              <w:t>.р</w:t>
            </w:r>
            <w:proofErr w:type="gramEnd"/>
            <w:r w:rsidRPr="00AD5EF4">
              <w:rPr>
                <w:i/>
                <w:sz w:val="24"/>
                <w:szCs w:val="24"/>
              </w:rPr>
              <w:t>уб</w:t>
            </w:r>
            <w:proofErr w:type="spellEnd"/>
            <w:r w:rsidRPr="00AD5EF4">
              <w:rPr>
                <w:i/>
                <w:sz w:val="24"/>
                <w:szCs w:val="24"/>
              </w:rPr>
              <w:t>.</w:t>
            </w:r>
          </w:p>
        </w:tc>
      </w:tr>
      <w:tr w:rsidR="005C6A2B" w:rsidRPr="00AD5EF4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rPr>
                <w:sz w:val="24"/>
                <w:szCs w:val="24"/>
              </w:rPr>
            </w:pPr>
            <w:r w:rsidRPr="00AD5EF4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AD5EF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D5EF4" w:rsidRDefault="005C6A2B" w:rsidP="007F3DD4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AD5EF4">
              <w:rPr>
                <w:i/>
                <w:sz w:val="24"/>
                <w:szCs w:val="24"/>
              </w:rPr>
              <w:lastRenderedPageBreak/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AD5EF4" w:rsidRDefault="005C6A2B" w:rsidP="007F3DD4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C6A2B" w:rsidRDefault="005C6A2B" w:rsidP="003F75CC">
      <w:pPr>
        <w:rPr>
          <w:sz w:val="28"/>
          <w:szCs w:val="28"/>
        </w:rPr>
        <w:sectPr w:rsidR="005C6A2B" w:rsidSect="007F3DD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E2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EC2128">
      <w:pPr>
        <w:pStyle w:val="ConsPlusNormal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E16CBE" w:rsidTr="008D1BF7">
        <w:tc>
          <w:tcPr>
            <w:tcW w:w="4928" w:type="dxa"/>
            <w:vMerge w:val="restart"/>
          </w:tcPr>
          <w:p w:rsidR="005C6A2B" w:rsidRPr="00EC2128" w:rsidRDefault="005C6A2B" w:rsidP="007F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EC2128" w:rsidRDefault="005C6A2B" w:rsidP="007F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E16CBE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8D1BF7">
        <w:tc>
          <w:tcPr>
            <w:tcW w:w="4928" w:type="dxa"/>
            <w:vMerge/>
          </w:tcPr>
          <w:p w:rsidR="005C6A2B" w:rsidRPr="00EC2128" w:rsidRDefault="005C6A2B" w:rsidP="007F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6A2B" w:rsidRPr="00EC2128" w:rsidRDefault="005C6A2B" w:rsidP="007F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C6A2B" w:rsidRPr="00EC2128" w:rsidRDefault="005C6A2B" w:rsidP="007F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E16CBE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8D1BF7">
        <w:tc>
          <w:tcPr>
            <w:tcW w:w="4928" w:type="dxa"/>
            <w:vMerge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E16CBE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8D1BF7">
        <w:trPr>
          <w:trHeight w:val="848"/>
        </w:trPr>
        <w:tc>
          <w:tcPr>
            <w:tcW w:w="4928" w:type="dxa"/>
          </w:tcPr>
          <w:p w:rsidR="005C6A2B" w:rsidRPr="00EC2128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rFonts w:ascii="Arial" w:hAnsi="Arial" w:cs="Arial"/>
                <w:b/>
                <w:color w:val="000000" w:themeColor="text1"/>
                <w:spacing w:val="1"/>
                <w:sz w:val="22"/>
                <w:szCs w:val="22"/>
                <w:u w:val="single"/>
              </w:rPr>
              <w:t>Подпрограмма 1</w:t>
            </w:r>
            <w:r w:rsidRPr="00EC2128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:rsidR="005C6A2B" w:rsidRPr="00EC2128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z w:val="22"/>
                <w:szCs w:val="22"/>
              </w:rPr>
              <w:t>«</w:t>
            </w:r>
            <w:r w:rsidRPr="00EC2128">
              <w:rPr>
                <w:sz w:val="22"/>
                <w:szCs w:val="22"/>
              </w:rPr>
              <w:t>Оценка недвижимости, признание прав и регулирование по муниципальной собственности</w:t>
            </w:r>
            <w:r w:rsidRPr="00EC212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C6A2B" w:rsidRPr="00EC2128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2014-202</w:t>
            </w:r>
            <w:r w:rsidR="00EC2128"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C6A2B" w:rsidRPr="00EC2128" w:rsidRDefault="004375C6" w:rsidP="008D1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u w:val="single"/>
              </w:rPr>
              <w:t>2684,1</w:t>
            </w:r>
          </w:p>
        </w:tc>
        <w:tc>
          <w:tcPr>
            <w:tcW w:w="1134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5C6A2B" w:rsidRPr="00EC2128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6A2B" w:rsidRPr="00EC2128" w:rsidRDefault="004375C6" w:rsidP="00892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u w:val="single"/>
              </w:rPr>
              <w:t>2684,1</w:t>
            </w:r>
          </w:p>
        </w:tc>
        <w:tc>
          <w:tcPr>
            <w:tcW w:w="1483" w:type="dxa"/>
          </w:tcPr>
          <w:p w:rsidR="005C6A2B" w:rsidRPr="00B37BE9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6A2B" w:rsidRPr="00E16CBE" w:rsidRDefault="005C6A2B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 w:val="restart"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Мероприятие 1</w:t>
            </w:r>
          </w:p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sz w:val="22"/>
                <w:szCs w:val="22"/>
                <w:u w:val="single"/>
              </w:rPr>
            </w:pPr>
            <w:r w:rsidRPr="00EC2128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1.1.</w:t>
            </w: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EC2128" w:rsidRPr="00EC2128" w:rsidRDefault="00EC2128" w:rsidP="004E20F7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368,6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368,6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204,0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204,0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300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55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EC2128" w:rsidRPr="00EC2128" w:rsidRDefault="00EC2128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269,0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269,0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315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403,0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403,0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25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219,7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219,7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76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EC2128" w:rsidRPr="00EC2128" w:rsidRDefault="00EC2128" w:rsidP="00892E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292,0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892E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292,0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17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17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148,9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148,9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17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EC2128" w:rsidRPr="00EC2128" w:rsidRDefault="004375C6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4375C6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c>
          <w:tcPr>
            <w:tcW w:w="4928" w:type="dxa"/>
            <w:vMerge w:val="restart"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Мероприятие 2</w:t>
            </w:r>
          </w:p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70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70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270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285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225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240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4E20F7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328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4E20F7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01A2F" w:rsidRPr="00E16CBE" w:rsidTr="008D1BF7">
        <w:trPr>
          <w:trHeight w:val="201"/>
        </w:trPr>
        <w:tc>
          <w:tcPr>
            <w:tcW w:w="4928" w:type="dxa"/>
            <w:vMerge/>
          </w:tcPr>
          <w:p w:rsidR="00301A2F" w:rsidRPr="00EC2128" w:rsidRDefault="00301A2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1A2F" w:rsidRPr="00EC2128" w:rsidRDefault="00301A2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301A2F" w:rsidRPr="00EC2128" w:rsidRDefault="00301A2F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1A2F" w:rsidRPr="00EC2128" w:rsidRDefault="00301A2F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301A2F" w:rsidRPr="00EC2128" w:rsidRDefault="00301A2F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01A2F" w:rsidRPr="00EC2128" w:rsidRDefault="00301A2F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01A2F" w:rsidRDefault="00301A2F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01A2F" w:rsidRPr="00E16CBE" w:rsidRDefault="00301A2F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01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:rsid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8D1BF7">
        <w:trPr>
          <w:trHeight w:val="148"/>
        </w:trPr>
        <w:tc>
          <w:tcPr>
            <w:tcW w:w="4928" w:type="dxa"/>
            <w:vMerge/>
          </w:tcPr>
          <w:p w:rsidR="004E20F7" w:rsidRPr="00EC2128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20F7" w:rsidRPr="00EC2128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20F7" w:rsidRPr="00EC2128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4E20F7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E16CBE" w:rsidRDefault="004E20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 w:val="restart"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b/>
                <w:color w:val="000000" w:themeColor="text1"/>
                <w:spacing w:val="1"/>
                <w:sz w:val="22"/>
                <w:szCs w:val="22"/>
                <w:u w:val="single"/>
              </w:rPr>
              <w:t>Подпрограмма 2</w:t>
            </w:r>
          </w:p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z w:val="22"/>
                <w:szCs w:val="22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Мероприятие 1</w:t>
            </w:r>
          </w:p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EC2128">
              <w:rPr>
                <w:color w:val="000000" w:themeColor="text1"/>
                <w:spacing w:val="1"/>
                <w:sz w:val="22"/>
                <w:szCs w:val="22"/>
              </w:rPr>
              <w:t>2.1.</w:t>
            </w:r>
            <w:r w:rsidRPr="00EC2128">
              <w:rPr>
                <w:color w:val="000000" w:themeColor="text1"/>
                <w:sz w:val="22"/>
                <w:szCs w:val="22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C212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C2128">
              <w:rPr>
                <w:color w:val="000000" w:themeColor="text1"/>
                <w:sz w:val="22"/>
                <w:szCs w:val="22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EC2128" w:rsidRPr="00EC2128" w:rsidRDefault="00EC2128" w:rsidP="000F5A19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2014-2025</w:t>
            </w:r>
          </w:p>
        </w:tc>
        <w:tc>
          <w:tcPr>
            <w:tcW w:w="1559" w:type="dxa"/>
          </w:tcPr>
          <w:p w:rsidR="00EC2128" w:rsidRPr="00EC2128" w:rsidRDefault="00EC2128" w:rsidP="00313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u w:val="single"/>
              </w:rPr>
              <w:t>4747,3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313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u w:val="single"/>
              </w:rPr>
              <w:t>4747,3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532,6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532,6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421,0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421,0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482,1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482,1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368,0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368,0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330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559,0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559,0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E16CBE" w:rsidRDefault="00EC2128" w:rsidP="008D1BF7">
            <w:pPr>
              <w:pStyle w:val="ConsPlusNormal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195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EC2128" w:rsidRPr="00EC2128" w:rsidRDefault="00EC2128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861,3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861,3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199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579,3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579,3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85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519,4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519,4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81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173,70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173,70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143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EC2128" w:rsidRPr="00EC2128" w:rsidRDefault="004375C6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187,2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4375C6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187,2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06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8D1BF7">
        <w:trPr>
          <w:trHeight w:val="206"/>
        </w:trPr>
        <w:tc>
          <w:tcPr>
            <w:tcW w:w="4928" w:type="dxa"/>
            <w:vMerge/>
          </w:tcPr>
          <w:p w:rsidR="00EC2128" w:rsidRPr="00EC2128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32,5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EC212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32,5</w:t>
            </w:r>
          </w:p>
        </w:tc>
        <w:tc>
          <w:tcPr>
            <w:tcW w:w="1483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 w:val="restart"/>
          </w:tcPr>
          <w:p w:rsidR="008D1BF7" w:rsidRPr="00EC2128" w:rsidRDefault="008D1BF7" w:rsidP="007F3D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212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Подпрограмма 3</w:t>
            </w:r>
            <w:r w:rsidRPr="00EC2128">
              <w:rPr>
                <w:rFonts w:ascii="Times New Roman" w:hAnsi="Times New Roman" w:cs="Times New Roman"/>
                <w:sz w:val="22"/>
                <w:szCs w:val="22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8D1BF7" w:rsidRPr="00EC2128" w:rsidRDefault="008D1B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  <w:p w:rsidR="008D1BF7" w:rsidRPr="00EC2128" w:rsidRDefault="008D1BF7" w:rsidP="005F1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BF7" w:rsidRPr="00EC2128" w:rsidRDefault="008D1BF7" w:rsidP="005F1F89">
            <w:pPr>
              <w:tabs>
                <w:tab w:val="left" w:pos="2985"/>
              </w:tabs>
              <w:rPr>
                <w:rFonts w:ascii="Arial" w:hAnsi="Arial" w:cs="Arial"/>
                <w:sz w:val="22"/>
                <w:szCs w:val="22"/>
              </w:rPr>
            </w:pPr>
            <w:r w:rsidRPr="00EC212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8D1BF7" w:rsidRPr="00EC2128" w:rsidRDefault="00EC2128" w:rsidP="000F5A19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2014-2025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195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EC2128">
        <w:trPr>
          <w:trHeight w:val="218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EC2128">
        <w:trPr>
          <w:trHeight w:val="70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8D1BF7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BF7" w:rsidRPr="00EC2128" w:rsidRDefault="003134FE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E16CBE" w:rsidTr="00EC2128">
        <w:trPr>
          <w:trHeight w:val="136"/>
        </w:trPr>
        <w:tc>
          <w:tcPr>
            <w:tcW w:w="4928" w:type="dxa"/>
            <w:vMerge/>
          </w:tcPr>
          <w:p w:rsidR="00EC2128" w:rsidRPr="003702A2" w:rsidRDefault="00EC2128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C2128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2128" w:rsidRP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EC2128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E16CBE" w:rsidRDefault="00EC2128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E16CBE" w:rsidTr="008D1BF7">
        <w:trPr>
          <w:trHeight w:val="278"/>
        </w:trPr>
        <w:tc>
          <w:tcPr>
            <w:tcW w:w="4928" w:type="dxa"/>
            <w:vMerge/>
          </w:tcPr>
          <w:p w:rsidR="008D1BF7" w:rsidRPr="003702A2" w:rsidRDefault="008D1BF7" w:rsidP="007F3D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EC2128" w:rsidRDefault="00EC2128" w:rsidP="007F3DD4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81" w:type="dxa"/>
          </w:tcPr>
          <w:p w:rsidR="008D1BF7" w:rsidRPr="00EC2128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BF7" w:rsidRPr="00EC2128" w:rsidRDefault="003134FE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C212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8D1BF7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E16CBE" w:rsidRDefault="008D1BF7" w:rsidP="007F3DD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63354" w:rsidRDefault="00863354"/>
    <w:sectPr w:rsidR="00863354" w:rsidSect="00EC2128">
      <w:pgSz w:w="16838" w:h="11906" w:orient="landscape"/>
      <w:pgMar w:top="1135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FA" w:rsidRDefault="006A10FA" w:rsidP="00AD5EF4">
      <w:r>
        <w:separator/>
      </w:r>
    </w:p>
  </w:endnote>
  <w:endnote w:type="continuationSeparator" w:id="0">
    <w:p w:rsidR="006A10FA" w:rsidRDefault="006A10FA" w:rsidP="00A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21548"/>
      <w:docPartObj>
        <w:docPartGallery w:val="Page Numbers (Bottom of Page)"/>
        <w:docPartUnique/>
      </w:docPartObj>
    </w:sdtPr>
    <w:sdtEndPr/>
    <w:sdtContent>
      <w:p w:rsidR="004375C6" w:rsidRDefault="004375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28">
          <w:rPr>
            <w:noProof/>
          </w:rPr>
          <w:t>3</w:t>
        </w:r>
        <w:r>
          <w:fldChar w:fldCharType="end"/>
        </w:r>
      </w:p>
    </w:sdtContent>
  </w:sdt>
  <w:p w:rsidR="004375C6" w:rsidRDefault="004375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FA" w:rsidRDefault="006A10FA" w:rsidP="00AD5EF4">
      <w:r>
        <w:separator/>
      </w:r>
    </w:p>
  </w:footnote>
  <w:footnote w:type="continuationSeparator" w:id="0">
    <w:p w:rsidR="006A10FA" w:rsidRDefault="006A10FA" w:rsidP="00A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32F89"/>
    <w:rsid w:val="000370AE"/>
    <w:rsid w:val="00044301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328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A10FA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CEC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42</cp:revision>
  <cp:lastPrinted>2023-01-09T11:54:00Z</cp:lastPrinted>
  <dcterms:created xsi:type="dcterms:W3CDTF">2019-07-04T06:25:00Z</dcterms:created>
  <dcterms:modified xsi:type="dcterms:W3CDTF">2023-01-13T06:25:00Z</dcterms:modified>
</cp:coreProperties>
</file>